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hành lập Sở</w:t>
      </w:r>
      <w:r w:rsidR="008F3F78">
        <w:rPr>
          <w:rFonts w:ascii="Times New Roman" w:hAnsi="Times New Roman"/>
          <w:b/>
          <w:spacing w:val="-2"/>
        </w:rPr>
        <w:t xml:space="preserve"> Văn hóa, Thể thao và Du lịch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5C844B11" wp14:editId="5A40A730">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C21C47" w:rsidRPr="00D54291" w:rsidRDefault="00C21C47" w:rsidP="00C21C47">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C21C47" w:rsidRPr="00D54291" w:rsidRDefault="00C21C47" w:rsidP="00C21C47">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8F3F78">
        <w:rPr>
          <w:rFonts w:ascii="Times New Roman" w:hAnsi="Times New Roman"/>
          <w:bCs/>
          <w:spacing w:val="-6"/>
        </w:rPr>
        <w:t xml:space="preserve">Văn hóa, Thể thao và Du lịch </w:t>
      </w:r>
      <w:r w:rsidR="00D54291" w:rsidRPr="00D54291">
        <w:rPr>
          <w:rFonts w:ascii="Times New Roman" w:hAnsi="Times New Roman"/>
          <w:bCs/>
          <w:spacing w:val="-6"/>
        </w:rPr>
        <w:t>tỉnh Q</w:t>
      </w:r>
      <w:r w:rsidR="008F3F78">
        <w:rPr>
          <w:rFonts w:ascii="Times New Roman" w:hAnsi="Times New Roman"/>
          <w:bCs/>
          <w:spacing w:val="-6"/>
        </w:rPr>
        <w:t xml:space="preserve">uảng Trị trên cơ sở hợp nhất Sở Văn hóa, Thể thao và Du lịch </w:t>
      </w:r>
      <w:r w:rsidR="00D54291" w:rsidRPr="00D54291">
        <w:rPr>
          <w:rFonts w:ascii="Times New Roman" w:hAnsi="Times New Roman"/>
          <w:bCs/>
          <w:spacing w:val="-6"/>
        </w:rPr>
        <w:t>tỉnh Quảng Bình và Sở</w:t>
      </w:r>
      <w:r w:rsidR="008F3F78">
        <w:rPr>
          <w:rFonts w:ascii="Times New Roman" w:hAnsi="Times New Roman"/>
          <w:bCs/>
          <w:spacing w:val="-6"/>
        </w:rPr>
        <w:t xml:space="preserve"> Văn hóa, Thể thao và Du lịch </w:t>
      </w:r>
      <w:r w:rsidR="00D54291" w:rsidRPr="00D54291">
        <w:rPr>
          <w:rFonts w:ascii="Times New Roman" w:hAnsi="Times New Roman"/>
          <w:bCs/>
          <w:spacing w:val="-6"/>
        </w:rPr>
        <w:t>tỉnh Quảng Trị.</w:t>
      </w:r>
    </w:p>
    <w:p w:rsidR="00D54291" w:rsidRDefault="008F3F78"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Sở Văn hóa, Thể thao và Du lịch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Bộ Văn hóa, Thể thao và Du lịch.</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26A1B" w:rsidRPr="00C92793">
        <w:rPr>
          <w:rFonts w:ascii="Times New Roman" w:hAnsi="Times New Roman"/>
          <w:bCs/>
        </w:rPr>
        <w:t xml:space="preserve">Sở </w:t>
      </w:r>
      <w:r w:rsidR="008F3F78" w:rsidRPr="00C92793">
        <w:rPr>
          <w:rFonts w:ascii="Times New Roman" w:hAnsi="Times New Roman"/>
          <w:bCs/>
        </w:rPr>
        <w:t xml:space="preserve">Văn hóa, Thể thao và Du lịch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t>Nghị quyết đã được Hội đồng nhân dân tỉnh Quả</w:t>
      </w:r>
      <w:r w:rsidR="00925B8A">
        <w:rPr>
          <w:rFonts w:ascii="Times New Roman" w:eastAsiaTheme="minorHAnsi" w:hAnsi="Times New Roman"/>
          <w:bCs/>
          <w:spacing w:val="4"/>
          <w:lang w:val="nl-NL"/>
        </w:rPr>
        <w:t xml:space="preserve">ng </w:t>
      </w:r>
      <w:r w:rsidR="00EF0702">
        <w:rPr>
          <w:rFonts w:ascii="Times New Roman" w:eastAsiaTheme="minorHAnsi" w:hAnsi="Times New Roman"/>
          <w:bCs/>
          <w:spacing w:val="4"/>
          <w:lang w:val="nl-NL"/>
        </w:rPr>
        <w:t xml:space="preserve">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C21C47">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C21C47">
        <w:rPr>
          <w:rFonts w:ascii="Times New Roman" w:eastAsiaTheme="minorHAnsi" w:hAnsi="Times New Roman"/>
          <w:bCs/>
          <w:spacing w:val="4"/>
          <w:lang w:val="nl-NL"/>
        </w:rPr>
        <w:t>nhất</w:t>
      </w:r>
      <w:bookmarkStart w:id="0" w:name="_GoBack"/>
      <w:bookmarkEnd w:id="0"/>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0B2DB3">
              <w:rPr>
                <w:rFonts w:ascii="Times New Roman" w:hAnsi="Times New Roman"/>
                <w:bCs/>
                <w:sz w:val="22"/>
                <w:lang w:val="pl-PL"/>
              </w:rPr>
              <w:t xml:space="preserve">Các </w:t>
            </w:r>
            <w:r w:rsidRPr="00D54291">
              <w:rPr>
                <w:rFonts w:ascii="Times New Roman" w:hAnsi="Times New Roman"/>
                <w:bCs/>
                <w:sz w:val="22"/>
                <w:lang w:val="pl-PL"/>
              </w:rPr>
              <w:t>Bộ</w:t>
            </w:r>
            <w:r w:rsidR="000B2DB3">
              <w:rPr>
                <w:rFonts w:ascii="Times New Roman" w:hAnsi="Times New Roman"/>
                <w:bCs/>
                <w:sz w:val="22"/>
                <w:lang w:val="pl-PL"/>
              </w:rPr>
              <w:t xml:space="preserve">: </w:t>
            </w:r>
            <w:r w:rsidR="00981E7F" w:rsidRPr="00981E7F">
              <w:rPr>
                <w:rFonts w:ascii="Times New Roman" w:hAnsi="Times New Roman"/>
                <w:bCs/>
                <w:spacing w:val="-6"/>
                <w:sz w:val="22"/>
                <w:szCs w:val="22"/>
              </w:rPr>
              <w:t>Văn hóa, Thể thao và Du lịch</w:t>
            </w:r>
            <w:r w:rsidRPr="00981E7F">
              <w:rPr>
                <w:rFonts w:ascii="Times New Roman" w:hAnsi="Times New Roman"/>
                <w:bCs/>
                <w:sz w:val="22"/>
                <w:szCs w:val="22"/>
                <w:lang w:val="pl-PL"/>
              </w:rPr>
              <w:t>;</w:t>
            </w:r>
            <w:r w:rsidR="000B2DB3">
              <w:rPr>
                <w:rFonts w:ascii="Times New Roman" w:hAnsi="Times New Roman"/>
                <w:bCs/>
                <w:sz w:val="22"/>
                <w:szCs w:val="22"/>
                <w:lang w:val="pl-PL"/>
              </w:rPr>
              <w:t xml:space="preserve"> Nội vụ;</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524290">
              <w:rPr>
                <w:rFonts w:ascii="Times New Roman" w:eastAsia="Calibri" w:hAnsi="Times New Roman"/>
                <w:spacing w:val="-4"/>
                <w:sz w:val="22"/>
                <w:lang w:val="nl-NL"/>
              </w:rPr>
              <w:t>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0B" w:rsidRDefault="00C07B0B">
      <w:r>
        <w:separator/>
      </w:r>
    </w:p>
  </w:endnote>
  <w:endnote w:type="continuationSeparator" w:id="0">
    <w:p w:rsidR="00C07B0B" w:rsidRDefault="00C0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0B" w:rsidRDefault="00C07B0B">
      <w:r>
        <w:separator/>
      </w:r>
    </w:p>
  </w:footnote>
  <w:footnote w:type="continuationSeparator" w:id="0">
    <w:p w:rsidR="00C07B0B" w:rsidRDefault="00C0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C21C47">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4D97"/>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2DB3"/>
    <w:rsid w:val="000B453B"/>
    <w:rsid w:val="000B5DF1"/>
    <w:rsid w:val="000C0045"/>
    <w:rsid w:val="000C195E"/>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4290"/>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074D"/>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8F3F78"/>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2CC8"/>
    <w:rsid w:val="0096700F"/>
    <w:rsid w:val="00967458"/>
    <w:rsid w:val="0096769E"/>
    <w:rsid w:val="00971E9D"/>
    <w:rsid w:val="009771BF"/>
    <w:rsid w:val="00981E7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C04D9"/>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B0B"/>
    <w:rsid w:val="00C07E75"/>
    <w:rsid w:val="00C21C47"/>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0702"/>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6367-26D5-4AA4-84A7-509D74B3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15</cp:revision>
  <cp:lastPrinted>2025-02-18T09:07:00Z</cp:lastPrinted>
  <dcterms:created xsi:type="dcterms:W3CDTF">2025-06-28T07:29:00Z</dcterms:created>
  <dcterms:modified xsi:type="dcterms:W3CDTF">2025-06-30T02:30:00Z</dcterms:modified>
</cp:coreProperties>
</file>