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0D2" w:rsidRPr="003B3F14" w:rsidRDefault="002920D2" w:rsidP="005761BF">
      <w:pPr>
        <w:spacing w:after="0"/>
        <w:jc w:val="center"/>
        <w:rPr>
          <w:b/>
        </w:rPr>
      </w:pPr>
      <w:r w:rsidRPr="003B3F14">
        <w:rPr>
          <w:b/>
        </w:rPr>
        <w:t>Phụ lục I</w:t>
      </w:r>
    </w:p>
    <w:p w:rsidR="005761BF" w:rsidRPr="003B3F14" w:rsidRDefault="002920D2" w:rsidP="005761BF">
      <w:pPr>
        <w:spacing w:after="0"/>
        <w:jc w:val="center"/>
        <w:rPr>
          <w:b/>
        </w:rPr>
      </w:pPr>
      <w:r w:rsidRPr="003B3F14">
        <w:rPr>
          <w:b/>
        </w:rPr>
        <w:t>PHÂN CẤP NGUỒN THU, TỶ LỆ PHẦN TRĂM (%) PHÂN CHIA NGUỒN THU GIỮA NGÂN SÁCH CẤP TỈNH VÀ NGÂN SÁCH CẤP XÃ</w:t>
      </w:r>
    </w:p>
    <w:p w:rsidR="002920D2" w:rsidRPr="003B3F14" w:rsidRDefault="002920D2" w:rsidP="005761BF">
      <w:pPr>
        <w:spacing w:after="0"/>
        <w:jc w:val="center"/>
        <w:rPr>
          <w:b/>
        </w:rPr>
      </w:pPr>
      <w:r w:rsidRPr="003B3F14">
        <w:rPr>
          <w:b/>
        </w:rPr>
        <w:t>TRÊN ĐỊA BÀN TỈNH QUẢNG TRỊ NĂM 2025</w:t>
      </w:r>
    </w:p>
    <w:p w:rsidR="000D64A5" w:rsidRPr="003B3F14" w:rsidRDefault="00D212A4" w:rsidP="002920D2">
      <w:pPr>
        <w:jc w:val="center"/>
        <w:rPr>
          <w:i/>
        </w:rPr>
      </w:pPr>
      <w:r>
        <w:rPr>
          <w:i/>
          <w:noProof/>
        </w:rPr>
        <mc:AlternateContent>
          <mc:Choice Requires="wps">
            <w:drawing>
              <wp:anchor distT="0" distB="0" distL="114300" distR="114300" simplePos="0" relativeHeight="251659264" behindDoc="0" locked="0" layoutInCell="1" allowOverlap="1">
                <wp:simplePos x="0" y="0"/>
                <wp:positionH relativeFrom="column">
                  <wp:posOffset>2118001</wp:posOffset>
                </wp:positionH>
                <wp:positionV relativeFrom="paragraph">
                  <wp:posOffset>228995</wp:posOffset>
                </wp:positionV>
                <wp:extent cx="2165230"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2165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6.75pt,18.05pt" to="337.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" strokecolor="black [3200]" strokeweight=".5pt">
                <v:stroke joinstyle="miter"/>
              </v:line>
            </w:pict>
          </mc:Fallback>
        </mc:AlternateContent>
      </w:r>
      <w:r w:rsidR="002920D2" w:rsidRPr="003B3F14">
        <w:rPr>
          <w:i/>
        </w:rPr>
        <w:t xml:space="preserve">(Kèm theo Nghị quyết số </w:t>
      </w:r>
      <w:r>
        <w:rPr>
          <w:i/>
        </w:rPr>
        <w:t>36</w:t>
      </w:r>
      <w:r w:rsidR="002920D2" w:rsidRPr="003B3F14">
        <w:rPr>
          <w:i/>
        </w:rPr>
        <w:t xml:space="preserve">/2025/NQ-HĐND ngày </w:t>
      </w:r>
      <w:r>
        <w:rPr>
          <w:i/>
        </w:rPr>
        <w:t>26/6/</w:t>
      </w:r>
      <w:r w:rsidR="002920D2" w:rsidRPr="003B3F14">
        <w:rPr>
          <w:i/>
        </w:rPr>
        <w:t>2025</w:t>
      </w:r>
      <w:r>
        <w:rPr>
          <w:i/>
        </w:rPr>
        <w:t xml:space="preserve"> của HĐND tỉnh</w:t>
      </w:r>
      <w:r w:rsidR="002920D2" w:rsidRPr="003B3F14">
        <w:rPr>
          <w:i/>
        </w:rPr>
        <w:t>)</w:t>
      </w:r>
    </w:p>
    <w:p w:rsidR="005761BF" w:rsidRPr="003B3F14" w:rsidRDefault="005761BF" w:rsidP="002920D2">
      <w:pPr>
        <w:jc w:val="center"/>
      </w:pPr>
    </w:p>
    <w:p w:rsidR="002920D2" w:rsidRPr="003B3F14" w:rsidRDefault="002920D2" w:rsidP="002920D2">
      <w:pPr>
        <w:rPr>
          <w:b/>
        </w:rPr>
      </w:pPr>
      <w:r w:rsidRPr="003B3F14">
        <w:rPr>
          <w:b/>
        </w:rPr>
        <w:t>I. CÁC KHOẢN THU HƯỞNG 100%</w:t>
      </w:r>
    </w:p>
    <w:tbl>
      <w:tblPr>
        <w:tblW w:w="10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238"/>
        <w:gridCol w:w="1134"/>
        <w:gridCol w:w="1199"/>
        <w:gridCol w:w="1160"/>
        <w:gridCol w:w="7"/>
      </w:tblGrid>
      <w:tr w:rsidR="003B3F14" w:rsidRPr="003B3F14" w:rsidTr="00CC7CC6">
        <w:trPr>
          <w:trHeight w:val="340"/>
          <w:tblHeader/>
        </w:trPr>
        <w:tc>
          <w:tcPr>
            <w:tcW w:w="708" w:type="dxa"/>
            <w:vMerge w:val="restart"/>
            <w:shd w:val="clear" w:color="auto" w:fill="auto"/>
            <w:vAlign w:val="center"/>
            <w:hideMark/>
          </w:tcPr>
          <w:p w:rsidR="002920D2" w:rsidRPr="00701A19" w:rsidRDefault="002920D2" w:rsidP="00213A9A">
            <w:pPr>
              <w:spacing w:after="0"/>
              <w:jc w:val="center"/>
              <w:rPr>
                <w:rFonts w:eastAsia="Times New Roman"/>
                <w:b/>
                <w:bCs/>
                <w:sz w:val="26"/>
                <w:szCs w:val="26"/>
              </w:rPr>
            </w:pPr>
            <w:r w:rsidRPr="00701A19">
              <w:rPr>
                <w:rFonts w:eastAsia="Times New Roman"/>
                <w:b/>
                <w:bCs/>
                <w:sz w:val="26"/>
                <w:szCs w:val="26"/>
              </w:rPr>
              <w:t>STT</w:t>
            </w:r>
          </w:p>
        </w:tc>
        <w:tc>
          <w:tcPr>
            <w:tcW w:w="6238" w:type="dxa"/>
            <w:vMerge w:val="restart"/>
            <w:shd w:val="clear" w:color="auto" w:fill="auto"/>
            <w:vAlign w:val="center"/>
            <w:hideMark/>
          </w:tcPr>
          <w:p w:rsidR="002920D2" w:rsidRPr="00701A19" w:rsidRDefault="002920D2" w:rsidP="00213A9A">
            <w:pPr>
              <w:spacing w:after="0"/>
              <w:jc w:val="center"/>
              <w:rPr>
                <w:rFonts w:eastAsia="Times New Roman"/>
                <w:b/>
                <w:bCs/>
                <w:sz w:val="26"/>
                <w:szCs w:val="26"/>
              </w:rPr>
            </w:pPr>
            <w:r w:rsidRPr="00701A19">
              <w:rPr>
                <w:rFonts w:eastAsia="Times New Roman"/>
                <w:b/>
                <w:bCs/>
                <w:sz w:val="26"/>
                <w:szCs w:val="26"/>
              </w:rPr>
              <w:t>Tên các khoản thu</w:t>
            </w:r>
          </w:p>
        </w:tc>
        <w:tc>
          <w:tcPr>
            <w:tcW w:w="1134" w:type="dxa"/>
            <w:vMerge w:val="restart"/>
            <w:shd w:val="clear" w:color="auto" w:fill="auto"/>
            <w:vAlign w:val="center"/>
            <w:hideMark/>
          </w:tcPr>
          <w:p w:rsidR="002920D2" w:rsidRPr="00701A19" w:rsidRDefault="002920D2" w:rsidP="00213A9A">
            <w:pPr>
              <w:spacing w:after="0"/>
              <w:jc w:val="center"/>
              <w:rPr>
                <w:rFonts w:eastAsia="Times New Roman"/>
                <w:b/>
                <w:bCs/>
                <w:sz w:val="26"/>
                <w:szCs w:val="26"/>
              </w:rPr>
            </w:pPr>
            <w:r w:rsidRPr="00701A19">
              <w:rPr>
                <w:rFonts w:eastAsia="Times New Roman"/>
                <w:b/>
                <w:bCs/>
                <w:sz w:val="26"/>
                <w:szCs w:val="26"/>
              </w:rPr>
              <w:t>Ngân sách cấp tỉnh</w:t>
            </w:r>
          </w:p>
        </w:tc>
        <w:tc>
          <w:tcPr>
            <w:tcW w:w="2366" w:type="dxa"/>
            <w:gridSpan w:val="3"/>
            <w:shd w:val="clear" w:color="auto" w:fill="auto"/>
            <w:vAlign w:val="center"/>
            <w:hideMark/>
          </w:tcPr>
          <w:p w:rsidR="002920D2" w:rsidRPr="00701A19" w:rsidRDefault="002920D2" w:rsidP="00213A9A">
            <w:pPr>
              <w:spacing w:after="0"/>
              <w:jc w:val="center"/>
              <w:rPr>
                <w:rFonts w:eastAsia="Times New Roman"/>
                <w:b/>
                <w:bCs/>
                <w:szCs w:val="28"/>
              </w:rPr>
            </w:pPr>
            <w:r w:rsidRPr="00701A19">
              <w:rPr>
                <w:rFonts w:eastAsia="Times New Roman"/>
                <w:b/>
                <w:bCs/>
                <w:szCs w:val="28"/>
              </w:rPr>
              <w:t>Ngân sách cấp xã</w:t>
            </w:r>
          </w:p>
        </w:tc>
      </w:tr>
      <w:tr w:rsidR="003B3F14" w:rsidRPr="003B3F14" w:rsidTr="00CC7CC6">
        <w:trPr>
          <w:gridAfter w:val="1"/>
          <w:wAfter w:w="7" w:type="dxa"/>
          <w:trHeight w:val="340"/>
          <w:tblHeader/>
        </w:trPr>
        <w:tc>
          <w:tcPr>
            <w:tcW w:w="708" w:type="dxa"/>
            <w:vMerge/>
            <w:vAlign w:val="center"/>
            <w:hideMark/>
          </w:tcPr>
          <w:p w:rsidR="002920D2" w:rsidRPr="00701A19" w:rsidRDefault="002920D2" w:rsidP="00213A9A">
            <w:pPr>
              <w:spacing w:after="0"/>
              <w:rPr>
                <w:rFonts w:eastAsia="Times New Roman"/>
                <w:b/>
                <w:bCs/>
                <w:sz w:val="26"/>
                <w:szCs w:val="26"/>
              </w:rPr>
            </w:pPr>
          </w:p>
        </w:tc>
        <w:tc>
          <w:tcPr>
            <w:tcW w:w="6238" w:type="dxa"/>
            <w:vMerge/>
            <w:vAlign w:val="center"/>
            <w:hideMark/>
          </w:tcPr>
          <w:p w:rsidR="002920D2" w:rsidRPr="00701A19" w:rsidRDefault="002920D2" w:rsidP="00213A9A">
            <w:pPr>
              <w:spacing w:after="0"/>
              <w:rPr>
                <w:rFonts w:eastAsia="Times New Roman"/>
                <w:b/>
                <w:bCs/>
                <w:sz w:val="26"/>
                <w:szCs w:val="26"/>
              </w:rPr>
            </w:pPr>
          </w:p>
        </w:tc>
        <w:tc>
          <w:tcPr>
            <w:tcW w:w="1134" w:type="dxa"/>
            <w:vMerge/>
            <w:vAlign w:val="center"/>
            <w:hideMark/>
          </w:tcPr>
          <w:p w:rsidR="002920D2" w:rsidRPr="00701A19" w:rsidRDefault="002920D2" w:rsidP="00213A9A">
            <w:pPr>
              <w:spacing w:after="0"/>
              <w:rPr>
                <w:rFonts w:eastAsia="Times New Roman"/>
                <w:b/>
                <w:bCs/>
                <w:sz w:val="26"/>
                <w:szCs w:val="26"/>
              </w:rPr>
            </w:pPr>
          </w:p>
        </w:tc>
        <w:tc>
          <w:tcPr>
            <w:tcW w:w="1199" w:type="dxa"/>
            <w:shd w:val="clear" w:color="auto" w:fill="auto"/>
            <w:vAlign w:val="center"/>
            <w:hideMark/>
          </w:tcPr>
          <w:p w:rsidR="002920D2" w:rsidRPr="00701A19" w:rsidRDefault="002920D2" w:rsidP="00213A9A">
            <w:pPr>
              <w:spacing w:after="0"/>
              <w:jc w:val="center"/>
              <w:rPr>
                <w:rFonts w:eastAsia="Times New Roman"/>
                <w:b/>
                <w:bCs/>
                <w:sz w:val="26"/>
                <w:szCs w:val="26"/>
              </w:rPr>
            </w:pPr>
            <w:r w:rsidRPr="003B3F14">
              <w:rPr>
                <w:rFonts w:eastAsia="Times New Roman"/>
                <w:b/>
                <w:bCs/>
                <w:sz w:val="26"/>
                <w:szCs w:val="26"/>
              </w:rPr>
              <w:t>Đ</w:t>
            </w:r>
            <w:r w:rsidRPr="00701A19">
              <w:rPr>
                <w:rFonts w:eastAsia="Times New Roman"/>
                <w:b/>
                <w:bCs/>
                <w:sz w:val="26"/>
                <w:szCs w:val="26"/>
              </w:rPr>
              <w:t>ặc khu</w:t>
            </w:r>
          </w:p>
        </w:tc>
        <w:tc>
          <w:tcPr>
            <w:tcW w:w="1160" w:type="dxa"/>
            <w:shd w:val="clear" w:color="auto" w:fill="auto"/>
            <w:vAlign w:val="center"/>
            <w:hideMark/>
          </w:tcPr>
          <w:p w:rsidR="002920D2" w:rsidRPr="00701A19" w:rsidRDefault="002920D2" w:rsidP="00213A9A">
            <w:pPr>
              <w:spacing w:after="0"/>
              <w:jc w:val="center"/>
              <w:rPr>
                <w:rFonts w:eastAsia="Times New Roman"/>
                <w:b/>
                <w:bCs/>
                <w:sz w:val="26"/>
                <w:szCs w:val="26"/>
              </w:rPr>
            </w:pPr>
            <w:r w:rsidRPr="003B3F14">
              <w:rPr>
                <w:rFonts w:eastAsia="Times New Roman"/>
                <w:b/>
                <w:bCs/>
                <w:sz w:val="26"/>
                <w:szCs w:val="26"/>
              </w:rPr>
              <w:t>P</w:t>
            </w:r>
            <w:r w:rsidRPr="00701A19">
              <w:rPr>
                <w:rFonts w:eastAsia="Times New Roman"/>
                <w:b/>
                <w:bCs/>
                <w:sz w:val="26"/>
                <w:szCs w:val="26"/>
              </w:rPr>
              <w:t>hường, xã</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Thu từ hoạt động xổ số kiến thiết, kể cả hoạt động xổ số điện toán, bao gồm cả khoản tiền chậm nộp theo quy định của Luật Quản lý thuế</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2</w:t>
            </w:r>
          </w:p>
        </w:tc>
        <w:tc>
          <w:tcPr>
            <w:tcW w:w="6238" w:type="dxa"/>
            <w:shd w:val="clear" w:color="000000" w:fill="FFFFFF"/>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Thuế sử dụng đất nông nghiệp</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000000" w:fill="FFFFFF"/>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Địa bàn Đặc khu Cồn Cỏ</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000000" w:fill="FFFFFF"/>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Địa bàn xã, phường:</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000000" w:fill="FFFFFF"/>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xml:space="preserve"> + Thuế sử dụng đất nông nghiệp thu từ hộ gia đình</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r>
      <w:tr w:rsidR="003B3F14" w:rsidRPr="003B3F14" w:rsidTr="00CC7CC6">
        <w:trPr>
          <w:gridAfter w:val="1"/>
          <w:wAfter w:w="7" w:type="dxa"/>
          <w:trHeight w:val="340"/>
        </w:trPr>
        <w:tc>
          <w:tcPr>
            <w:tcW w:w="708" w:type="dxa"/>
            <w:shd w:val="clear" w:color="000000" w:fill="FFFFFF"/>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000000" w:fill="FFFFFF"/>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xml:space="preserve"> + Thuế sử dụng đất nông nghiệp thu từ các đối tượng còn lại </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3</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Thu tiền cho thuê đất, thuê mặt nước (không kể tiền thuê đất, thuê mặt nước từ hoạt động thăm dò, khai thác dầu, khí), bao gồm cả khoản tiền chậm nộp theo quy định của Luật Quản lý thuế</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3.1</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Thu tiền cho thuê đất tại các Khu công nghiệp, Khu thương mại do tỉnh quản lý (bao gồm tiền thuê đất trả tiền hàng năm và tiền thuê đất trả tiền một lần cho cả thời gian thuê)</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3.2</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Thu tiền cho thuê đất, thuê mặt nước còn lại:</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rPr>
                <w:rFonts w:eastAsia="Times New Roman"/>
                <w:szCs w:val="28"/>
              </w:rPr>
            </w:pPr>
            <w:r w:rsidRPr="00701A19">
              <w:rPr>
                <w:rFonts w:eastAsia="Times New Roman"/>
                <w:szCs w:val="28"/>
              </w:rPr>
              <w:t>- Địa bàn Đặc khu Cồn Cỏ:</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xml:space="preserve"> + Trả tiền thuê đất hàng năm</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xml:space="preserve"> + Trả tiền thuê đất một lần cho cả thời gian thuê </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70%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30%</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rPr>
                <w:rFonts w:eastAsia="Times New Roman"/>
                <w:szCs w:val="28"/>
              </w:rPr>
            </w:pPr>
            <w:r w:rsidRPr="00701A19">
              <w:rPr>
                <w:rFonts w:eastAsia="Times New Roman"/>
                <w:szCs w:val="28"/>
              </w:rPr>
              <w:t>- Địa bàn phường, xã</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4</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Thu tiền cho thuê nhà và bán nhà thuộc sở hữu Nhà nước</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5</w:t>
            </w:r>
          </w:p>
        </w:tc>
        <w:tc>
          <w:tcPr>
            <w:tcW w:w="6238" w:type="dxa"/>
            <w:shd w:val="clear" w:color="000000" w:fill="FFFFFF"/>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xml:space="preserve">Thu bán tài sản công, kể cả thu từ chuyển nhượng quyền sử dụng đất, chuyển mục đích sử dụng đất do các cơ quan nhà nước, tổ chức chính trị, các tổ chức chính trị - xã hội, các đơn vị sự nghiệp công lập, các công ty trách nhiệm hữu hạn một thành viên do Nhà nước làm chủ sở hữu đơn vị hoặc doanh nghiệp mà có vốn ngân sách địa phương tham gia trước khi thực </w:t>
            </w:r>
            <w:r w:rsidRPr="00701A19">
              <w:rPr>
                <w:rFonts w:eastAsia="Times New Roman"/>
                <w:szCs w:val="28"/>
              </w:rPr>
              <w:lastRenderedPageBreak/>
              <w:t>hiện cổ phần hóa, sắp xếp lại và các đơn vị, tổ chức khác thuộc địa phương quản lý (*)</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lastRenderedPageBreak/>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lastRenderedPageBreak/>
              <w:t> </w:t>
            </w:r>
          </w:p>
        </w:tc>
        <w:tc>
          <w:tcPr>
            <w:tcW w:w="6238" w:type="dxa"/>
            <w:shd w:val="clear" w:color="auto" w:fill="auto"/>
            <w:vAlign w:val="center"/>
            <w:hideMark/>
          </w:tcPr>
          <w:p w:rsidR="002920D2" w:rsidRPr="00701A19" w:rsidRDefault="002920D2" w:rsidP="00D212A4">
            <w:pPr>
              <w:spacing w:before="20" w:after="20"/>
              <w:jc w:val="both"/>
              <w:rPr>
                <w:rFonts w:eastAsia="Times New Roman"/>
                <w:szCs w:val="28"/>
              </w:rPr>
            </w:pPr>
            <w:r w:rsidRPr="00701A19">
              <w:rPr>
                <w:rFonts w:eastAsia="Times New Roman"/>
                <w:szCs w:val="28"/>
              </w:rPr>
              <w:t xml:space="preserve">- Các cơ quan, tổ chức, đơn vị thuộc </w:t>
            </w:r>
            <w:r w:rsidR="00D212A4">
              <w:rPr>
                <w:rFonts w:eastAsia="Times New Roman"/>
                <w:szCs w:val="28"/>
              </w:rPr>
              <w:t>đ</w:t>
            </w:r>
            <w:r w:rsidRPr="00701A19">
              <w:rPr>
                <w:rFonts w:eastAsia="Times New Roman"/>
                <w:szCs w:val="28"/>
              </w:rPr>
              <w:t>ặc khu Cồn Cỏ quản lý</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Các cơ quan, tổ chức, đơn vị thuộc địa phương còn lại quản lý</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6</w:t>
            </w:r>
          </w:p>
        </w:tc>
        <w:tc>
          <w:tcPr>
            <w:tcW w:w="6238" w:type="dxa"/>
            <w:shd w:val="clear" w:color="000000" w:fill="FFFFFF"/>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Thu từ xử lý tài sản được xác lập quyền sở hữu toàn dân do các cơ quan, đơn vị, tổ chức thuộc địa phương xử lý, sau khi trừ đi chi phí theo quy định của pháp luật:</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vAlign w:val="center"/>
            <w:hideMark/>
          </w:tcPr>
          <w:p w:rsidR="002920D2" w:rsidRPr="00701A19" w:rsidRDefault="002920D2" w:rsidP="002A3D7C">
            <w:pPr>
              <w:spacing w:before="20" w:after="20"/>
              <w:jc w:val="center"/>
              <w:rPr>
                <w:rFonts w:eastAsia="Times New Roman"/>
                <w:szCs w:val="28"/>
              </w:rPr>
            </w:pPr>
            <w:r w:rsidRPr="00701A19">
              <w:rPr>
                <w:rFonts w:eastAsia="Times New Roman"/>
                <w:strike/>
                <w:szCs w:val="28"/>
              </w:rPr>
              <w:t> </w:t>
            </w:r>
          </w:p>
        </w:tc>
        <w:tc>
          <w:tcPr>
            <w:tcW w:w="6238" w:type="dxa"/>
            <w:shd w:val="clear" w:color="000000" w:fill="FFFFFF"/>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Các cơ quan, tổ chức, đơn vị thuộc cấp tỉnh xử lý</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vAlign w:val="center"/>
            <w:hideMark/>
          </w:tcPr>
          <w:p w:rsidR="002920D2" w:rsidRPr="00701A19" w:rsidRDefault="002920D2" w:rsidP="002A3D7C">
            <w:pPr>
              <w:spacing w:before="20" w:after="20"/>
              <w:jc w:val="center"/>
              <w:rPr>
                <w:rFonts w:eastAsia="Times New Roman"/>
                <w:szCs w:val="28"/>
              </w:rPr>
            </w:pPr>
            <w:r w:rsidRPr="00701A19">
              <w:rPr>
                <w:rFonts w:eastAsia="Times New Roman"/>
                <w:strike/>
                <w:szCs w:val="28"/>
              </w:rPr>
              <w:t> </w:t>
            </w:r>
          </w:p>
        </w:tc>
        <w:tc>
          <w:tcPr>
            <w:tcW w:w="6238" w:type="dxa"/>
            <w:shd w:val="clear" w:color="000000" w:fill="FFFFFF"/>
            <w:vAlign w:val="center"/>
            <w:hideMark/>
          </w:tcPr>
          <w:p w:rsidR="002920D2" w:rsidRPr="00701A19" w:rsidRDefault="002920D2" w:rsidP="0061663A">
            <w:pPr>
              <w:spacing w:before="20" w:after="20"/>
              <w:jc w:val="both"/>
              <w:rPr>
                <w:rFonts w:eastAsia="Times New Roman"/>
                <w:szCs w:val="28"/>
              </w:rPr>
            </w:pPr>
            <w:r w:rsidRPr="00701A19">
              <w:rPr>
                <w:rFonts w:eastAsia="Times New Roman"/>
                <w:szCs w:val="28"/>
              </w:rPr>
              <w:t xml:space="preserve">- Các cơ quan, tổ chức, đơn vị thuộc </w:t>
            </w:r>
            <w:r w:rsidR="0061663A">
              <w:rPr>
                <w:rFonts w:eastAsia="Times New Roman"/>
                <w:szCs w:val="28"/>
              </w:rPr>
              <w:t>đ</w:t>
            </w:r>
            <w:r w:rsidRPr="00701A19">
              <w:rPr>
                <w:rFonts w:eastAsia="Times New Roman"/>
                <w:szCs w:val="28"/>
              </w:rPr>
              <w:t>ặc khu Cồn Cỏ xử lý</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vAlign w:val="center"/>
            <w:hideMark/>
          </w:tcPr>
          <w:p w:rsidR="002920D2" w:rsidRPr="00701A19" w:rsidRDefault="002920D2" w:rsidP="002A3D7C">
            <w:pPr>
              <w:spacing w:before="20" w:after="20"/>
              <w:jc w:val="center"/>
              <w:rPr>
                <w:rFonts w:eastAsia="Times New Roman"/>
                <w:szCs w:val="28"/>
              </w:rPr>
            </w:pPr>
            <w:r w:rsidRPr="00701A19">
              <w:rPr>
                <w:rFonts w:eastAsia="Times New Roman"/>
                <w:strike/>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Phường, xã xử lý</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7</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Các khoản thu hồi vốn của ngân sách địa phương đầu tư tại các tổ chức kinh tế; thu cổ tức, lợi nhuận được chia tại công ty cổ phần, công ty trách nhiệm hữu hạn hai thành viên trở lên có vốn góp của Nhà nước do Ủy ban nhân dân tỉnh (hoặc do các cơ quan cấp tỉnh) đại diện chủ sở hữu; thu phần lợi nhuận sau thuế còn lại sau khi trích lập các quỹ của doanh nghiệp nhà nước do Ủy ban nhân dân tỉnh (hoặc do các cơ quan cấp tỉnh) đại diện chủ sở hữu</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8</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Thu từ Quỹ dự trữ tài chính cấp tỉnh</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9</w:t>
            </w:r>
          </w:p>
        </w:tc>
        <w:tc>
          <w:tcPr>
            <w:tcW w:w="6238" w:type="dxa"/>
            <w:shd w:val="clear" w:color="auto" w:fill="auto"/>
            <w:vAlign w:val="center"/>
            <w:hideMark/>
          </w:tcPr>
          <w:p w:rsidR="002920D2" w:rsidRPr="00701A19" w:rsidRDefault="002920D2" w:rsidP="0061663A">
            <w:pPr>
              <w:spacing w:before="20" w:after="20"/>
              <w:jc w:val="both"/>
              <w:rPr>
                <w:rFonts w:eastAsia="Times New Roman"/>
                <w:szCs w:val="28"/>
              </w:rPr>
            </w:pPr>
            <w:r w:rsidRPr="00701A19">
              <w:rPr>
                <w:rFonts w:eastAsia="Times New Roman"/>
                <w:szCs w:val="28"/>
              </w:rPr>
              <w:t xml:space="preserve">Phí (không bao gồm phí bảo vệ môi trường) thu từ các hoạt động dịch vụ do các cơ quan nhà nước địa phương thực hiện, trường hợp được khoán chi phí hoạt động thì được khấu trừ; phí thu từ các hoạt động dịch vụ do đơn vị sự nghiệp công lập địa phương và doanh nghiệp nhà nước địa phương do Ủy ban nhân dân tỉnh đại diện chủ sở hữu thực hiện, sau khi trừ phần được trích lại theo quy định của pháp luật; </w:t>
            </w:r>
            <w:r w:rsidR="0061663A">
              <w:rPr>
                <w:rFonts w:eastAsia="Times New Roman"/>
                <w:szCs w:val="28"/>
              </w:rPr>
              <w:t>l</w:t>
            </w:r>
            <w:r w:rsidRPr="00701A19">
              <w:rPr>
                <w:rFonts w:eastAsia="Times New Roman"/>
                <w:szCs w:val="28"/>
              </w:rPr>
              <w:t>ệ phí do các cơ quan nhà nước địa phương thực hiện thu theo quy định (không bao gồm lệ phí môn bài và lệ phí trước bạ)</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trike/>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Cơ quan, đơn vị thuộc cấp tỉnh quản lý và tổ chức thực hiện thu</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trike/>
                <w:szCs w:val="28"/>
              </w:rPr>
              <w:t> </w:t>
            </w:r>
          </w:p>
        </w:tc>
        <w:tc>
          <w:tcPr>
            <w:tcW w:w="6238" w:type="dxa"/>
            <w:shd w:val="clear" w:color="auto" w:fill="auto"/>
            <w:vAlign w:val="center"/>
            <w:hideMark/>
          </w:tcPr>
          <w:p w:rsidR="002920D2" w:rsidRPr="00701A19" w:rsidRDefault="002920D2" w:rsidP="0061663A">
            <w:pPr>
              <w:spacing w:before="20" w:after="20"/>
              <w:jc w:val="both"/>
              <w:rPr>
                <w:rFonts w:eastAsia="Times New Roman"/>
                <w:szCs w:val="28"/>
              </w:rPr>
            </w:pPr>
            <w:r w:rsidRPr="00701A19">
              <w:rPr>
                <w:rFonts w:eastAsia="Times New Roman"/>
                <w:szCs w:val="28"/>
              </w:rPr>
              <w:t xml:space="preserve">- Cơ quan, đơn vị thuộc </w:t>
            </w:r>
            <w:r w:rsidR="0061663A">
              <w:rPr>
                <w:rFonts w:eastAsia="Times New Roman"/>
                <w:szCs w:val="28"/>
              </w:rPr>
              <w:t>đ</w:t>
            </w:r>
            <w:r w:rsidRPr="00701A19">
              <w:rPr>
                <w:rFonts w:eastAsia="Times New Roman"/>
                <w:szCs w:val="28"/>
              </w:rPr>
              <w:t xml:space="preserve">ặc khu Cồn Cỏ quản lý và </w:t>
            </w:r>
            <w:r w:rsidRPr="00701A19">
              <w:rPr>
                <w:rFonts w:eastAsia="Times New Roman"/>
                <w:szCs w:val="28"/>
              </w:rPr>
              <w:lastRenderedPageBreak/>
              <w:t>tổ chức thực hiện thu</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lastRenderedPageBreak/>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lastRenderedPageBreak/>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Cơ quan, đơn vị thuộc phường, xã quản lý và tổ chức thực hiện thu</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r>
      <w:tr w:rsidR="003B3F14" w:rsidRPr="003B3F14" w:rsidTr="00CC7CC6">
        <w:trPr>
          <w:gridAfter w:val="1"/>
          <w:wAfter w:w="7" w:type="dxa"/>
          <w:trHeight w:val="340"/>
        </w:trPr>
        <w:tc>
          <w:tcPr>
            <w:tcW w:w="708" w:type="dxa"/>
            <w:shd w:val="clear" w:color="000000" w:fill="FFFFFF"/>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w:t>
            </w:r>
          </w:p>
        </w:tc>
        <w:tc>
          <w:tcPr>
            <w:tcW w:w="6238" w:type="dxa"/>
            <w:shd w:val="clear" w:color="000000" w:fill="FFFFFF"/>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Phí bảo vệ môi trường đối với nước thải, khí thải, khai thác khoáng sản (phần địa phương hưởng)</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Cơ quan, đơn vị thuộc cấp tỉnh; tổ chức, doanh nghiệp do Chi cục Thuế, Đội Thuế quản lý và tổ chức thực hiện nhiệm vụ thu</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Cơ quan, đơn vị thuộc Đặc khu Cồn Cỏ; tổ chức, doanh nghiệp do Đội Thuế quản lý và tổ chức thực hiện thu</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Cơ quan, đơn vị thuộc phường, xã; hộ kinh doanh, cá nhân kinh doanh do Đội Thuế quản lý và tổ chức thực hiện thu</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r>
      <w:tr w:rsidR="003B3F14" w:rsidRPr="003B3F14" w:rsidTr="00213A9A">
        <w:trPr>
          <w:gridAfter w:val="1"/>
          <w:wAfter w:w="7" w:type="dxa"/>
          <w:trHeight w:val="340"/>
        </w:trPr>
        <w:tc>
          <w:tcPr>
            <w:tcW w:w="708" w:type="dxa"/>
            <w:tcBorders>
              <w:bottom w:val="single" w:sz="4" w:space="0" w:color="auto"/>
            </w:tcBorders>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11</w:t>
            </w:r>
          </w:p>
        </w:tc>
        <w:tc>
          <w:tcPr>
            <w:tcW w:w="6238" w:type="dxa"/>
            <w:tcBorders>
              <w:bottom w:val="single" w:sz="4" w:space="0" w:color="auto"/>
            </w:tcBorders>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Thuế bảo vệ môi trường (trừ thuế bảo vệ môi trường thu từ hàng hóa nhập khẩu), bao gồm cả khoản tiền chậm nộp theo quy định của Luật Quản lý thuế</w:t>
            </w:r>
          </w:p>
        </w:tc>
        <w:tc>
          <w:tcPr>
            <w:tcW w:w="1134" w:type="dxa"/>
            <w:tcBorders>
              <w:bottom w:val="single" w:sz="4" w:space="0" w:color="auto"/>
            </w:tcBorders>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tcBorders>
              <w:bottom w:val="single" w:sz="4" w:space="0" w:color="auto"/>
            </w:tcBorders>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tcBorders>
              <w:bottom w:val="single" w:sz="4" w:space="0" w:color="auto"/>
            </w:tcBorders>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213A9A">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12</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Thu từ quỹ đất công ích và thu hoa lợi công sản khác</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BF6BDA">
            <w:pPr>
              <w:spacing w:before="20" w:after="20"/>
              <w:jc w:val="both"/>
              <w:rPr>
                <w:rFonts w:eastAsia="Times New Roman"/>
                <w:szCs w:val="28"/>
              </w:rPr>
            </w:pPr>
            <w:r w:rsidRPr="00701A19">
              <w:rPr>
                <w:rFonts w:eastAsia="Times New Roman"/>
                <w:szCs w:val="28"/>
              </w:rPr>
              <w:t xml:space="preserve">- Địa bàn </w:t>
            </w:r>
            <w:r w:rsidR="00BF6BDA">
              <w:rPr>
                <w:rFonts w:eastAsia="Times New Roman"/>
                <w:szCs w:val="28"/>
              </w:rPr>
              <w:t>đ</w:t>
            </w:r>
            <w:r w:rsidRPr="00701A19">
              <w:rPr>
                <w:rFonts w:eastAsia="Times New Roman"/>
                <w:szCs w:val="28"/>
              </w:rPr>
              <w:t>ặc khu Cồn Cỏ</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Địa bàn phường, xã</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13</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Huy động đóng góp từ các tổ chức, cá nhân theo quy định của pháp luật</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Cấp tỉnh huy động</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Đặc khu Cồn Cỏ huy động</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Phường, xã huy động</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14</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Đóng góp tự nguyện của các tổ chức, cá nhân ở trong và ngoài nước</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Đóng góp cho tỉnh</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BF6BDA">
            <w:pPr>
              <w:spacing w:before="20" w:after="20"/>
              <w:jc w:val="both"/>
              <w:rPr>
                <w:rFonts w:eastAsia="Times New Roman"/>
                <w:szCs w:val="28"/>
              </w:rPr>
            </w:pPr>
            <w:r w:rsidRPr="00701A19">
              <w:rPr>
                <w:rFonts w:eastAsia="Times New Roman"/>
                <w:szCs w:val="28"/>
              </w:rPr>
              <w:t xml:space="preserve">- Đóng góp cho </w:t>
            </w:r>
            <w:r w:rsidR="00BF6BDA">
              <w:rPr>
                <w:rFonts w:eastAsia="Times New Roman"/>
                <w:szCs w:val="28"/>
              </w:rPr>
              <w:t>đ</w:t>
            </w:r>
            <w:r w:rsidRPr="00701A19">
              <w:rPr>
                <w:rFonts w:eastAsia="Times New Roman"/>
                <w:szCs w:val="28"/>
              </w:rPr>
              <w:t>ặc khu Cồn Cỏ</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Đóng góp cho phường, xã</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15</w:t>
            </w:r>
          </w:p>
        </w:tc>
        <w:tc>
          <w:tcPr>
            <w:tcW w:w="6238" w:type="dxa"/>
            <w:shd w:val="clear" w:color="auto" w:fill="auto"/>
            <w:vAlign w:val="center"/>
            <w:hideMark/>
          </w:tcPr>
          <w:p w:rsidR="002920D2" w:rsidRPr="00701A19" w:rsidRDefault="002920D2" w:rsidP="002A3D7C">
            <w:pPr>
              <w:spacing w:before="20" w:after="20"/>
              <w:jc w:val="both"/>
              <w:rPr>
                <w:rFonts w:eastAsia="Times New Roman"/>
                <w:spacing w:val="-4"/>
                <w:szCs w:val="28"/>
              </w:rPr>
            </w:pPr>
            <w:r w:rsidRPr="00701A19">
              <w:rPr>
                <w:rFonts w:eastAsia="Times New Roman"/>
                <w:spacing w:val="-4"/>
                <w:szCs w:val="28"/>
              </w:rPr>
              <w:t>Tiền thu từ xử phạt vi phạm hành chính, phạt, tịch thu khác theo quy định của pháp luật do các cơ quan nhà nước địa phương quyết định thực hiện xử phạt, tịch thu</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Các cơ quan nhà nước cấp tỉnh quyết định thực hiện xử phạt, tịch thu</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trike/>
                <w:szCs w:val="28"/>
              </w:rPr>
              <w:t> </w:t>
            </w:r>
          </w:p>
        </w:tc>
        <w:tc>
          <w:tcPr>
            <w:tcW w:w="6238" w:type="dxa"/>
            <w:shd w:val="clear" w:color="auto" w:fill="auto"/>
            <w:vAlign w:val="center"/>
            <w:hideMark/>
          </w:tcPr>
          <w:p w:rsidR="002920D2" w:rsidRPr="00701A19" w:rsidRDefault="002920D2" w:rsidP="00BF6BDA">
            <w:pPr>
              <w:spacing w:before="20" w:after="20"/>
              <w:jc w:val="both"/>
              <w:rPr>
                <w:rFonts w:eastAsia="Times New Roman"/>
                <w:szCs w:val="28"/>
              </w:rPr>
            </w:pPr>
            <w:r w:rsidRPr="00701A19">
              <w:rPr>
                <w:rFonts w:eastAsia="Times New Roman"/>
                <w:szCs w:val="28"/>
              </w:rPr>
              <w:t xml:space="preserve">- Các cơ quan nhà nước </w:t>
            </w:r>
            <w:r w:rsidR="00BF6BDA">
              <w:rPr>
                <w:rFonts w:eastAsia="Times New Roman"/>
                <w:szCs w:val="28"/>
              </w:rPr>
              <w:t>đ</w:t>
            </w:r>
            <w:r w:rsidRPr="00701A19">
              <w:rPr>
                <w:rFonts w:eastAsia="Times New Roman"/>
                <w:szCs w:val="28"/>
              </w:rPr>
              <w:t>ặc khu Cồn Cỏ quyết định thực hiện xử phạt, tịch thu</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lastRenderedPageBreak/>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Các cơ quan nhà nước phường, xã quyết định thực hiện xử phạt, tịch thu</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16</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Thu kết dư ngân sách năm trước</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Ngân sách cấp tỉnh</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BF6BDA">
            <w:pPr>
              <w:spacing w:before="20" w:after="20"/>
              <w:jc w:val="both"/>
              <w:rPr>
                <w:rFonts w:eastAsia="Times New Roman"/>
                <w:szCs w:val="28"/>
              </w:rPr>
            </w:pPr>
            <w:r w:rsidRPr="00701A19">
              <w:rPr>
                <w:rFonts w:eastAsia="Times New Roman"/>
                <w:szCs w:val="28"/>
              </w:rPr>
              <w:t xml:space="preserve">- Ngân sách </w:t>
            </w:r>
            <w:r w:rsidR="00BF6BDA">
              <w:rPr>
                <w:rFonts w:eastAsia="Times New Roman"/>
                <w:szCs w:val="28"/>
              </w:rPr>
              <w:t>đ</w:t>
            </w:r>
            <w:r w:rsidRPr="00701A19">
              <w:rPr>
                <w:rFonts w:eastAsia="Times New Roman"/>
                <w:szCs w:val="28"/>
              </w:rPr>
              <w:t>ặc khu Cồn Cỏ</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Ngân sách phường, xã</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17</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Thu bổ sung từ ngân sách cấp trên</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Ngân sách trung ương bổ sung cho ngân sách tỉnh</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p>
        </w:tc>
        <w:tc>
          <w:tcPr>
            <w:tcW w:w="6238" w:type="dxa"/>
            <w:shd w:val="clear" w:color="auto" w:fill="auto"/>
            <w:vAlign w:val="center"/>
            <w:hideMark/>
          </w:tcPr>
          <w:p w:rsidR="002920D2" w:rsidRPr="00701A19" w:rsidRDefault="002920D2" w:rsidP="00BF6BDA">
            <w:pPr>
              <w:spacing w:before="20" w:after="20"/>
              <w:jc w:val="both"/>
              <w:rPr>
                <w:rFonts w:eastAsia="Times New Roman"/>
                <w:spacing w:val="-6"/>
                <w:szCs w:val="28"/>
              </w:rPr>
            </w:pPr>
            <w:r w:rsidRPr="00701A19">
              <w:rPr>
                <w:rFonts w:eastAsia="Times New Roman"/>
                <w:spacing w:val="-6"/>
                <w:szCs w:val="28"/>
              </w:rPr>
              <w:t xml:space="preserve">- Ngân sách tỉnh bổ sung cho ngân sách </w:t>
            </w:r>
            <w:r w:rsidR="00BF6BDA">
              <w:rPr>
                <w:rFonts w:eastAsia="Times New Roman"/>
                <w:spacing w:val="-6"/>
                <w:szCs w:val="28"/>
              </w:rPr>
              <w:t>đ</w:t>
            </w:r>
            <w:r w:rsidRPr="00701A19">
              <w:rPr>
                <w:rFonts w:eastAsia="Times New Roman"/>
                <w:spacing w:val="-6"/>
                <w:szCs w:val="28"/>
              </w:rPr>
              <w:t>ặc khu Cồn Cỏ</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Ngân sách tỉnh bổ sung cho ngân sách phường, xã</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18</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Thu chuyển nguồn ngân sách từ ngân sách năm trước sang ngân sách năm sau</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Chuyển nguồn ngân sách cấp tỉnh</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p>
        </w:tc>
        <w:tc>
          <w:tcPr>
            <w:tcW w:w="6238" w:type="dxa"/>
            <w:shd w:val="clear" w:color="auto" w:fill="auto"/>
            <w:vAlign w:val="center"/>
            <w:hideMark/>
          </w:tcPr>
          <w:p w:rsidR="002920D2" w:rsidRPr="00701A19" w:rsidRDefault="002920D2" w:rsidP="00BF6BDA">
            <w:pPr>
              <w:spacing w:before="20" w:after="20"/>
              <w:jc w:val="both"/>
              <w:rPr>
                <w:rFonts w:eastAsia="Times New Roman"/>
                <w:szCs w:val="28"/>
              </w:rPr>
            </w:pPr>
            <w:r w:rsidRPr="00701A19">
              <w:rPr>
                <w:rFonts w:eastAsia="Times New Roman"/>
                <w:szCs w:val="28"/>
              </w:rPr>
              <w:t xml:space="preserve">- Chuyển nguồn ngân sách </w:t>
            </w:r>
            <w:r w:rsidR="00BF6BDA">
              <w:rPr>
                <w:rFonts w:eastAsia="Times New Roman"/>
                <w:szCs w:val="28"/>
              </w:rPr>
              <w:t>đ</w:t>
            </w:r>
            <w:r w:rsidRPr="00701A19">
              <w:rPr>
                <w:rFonts w:eastAsia="Times New Roman"/>
                <w:szCs w:val="28"/>
              </w:rPr>
              <w:t>ặc khu Cồn Cỏ</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Chuyển nguồn ngân sách phường, xã</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19</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Viện trợ không hoàn lại của các tổ chức quốc tế, các tổ chức khác, các cá nhân ở nước ngoài trực tiếp cho ngân sách địa phương theo quy định của pháp luật</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Viện trợ cho cấp tỉnh</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BF6BDA">
            <w:pPr>
              <w:spacing w:before="20" w:after="20"/>
              <w:jc w:val="both"/>
              <w:rPr>
                <w:rFonts w:eastAsia="Times New Roman"/>
                <w:szCs w:val="28"/>
              </w:rPr>
            </w:pPr>
            <w:r w:rsidRPr="00701A19">
              <w:rPr>
                <w:rFonts w:eastAsia="Times New Roman"/>
                <w:szCs w:val="28"/>
              </w:rPr>
              <w:t xml:space="preserve">- Viện trợ cho </w:t>
            </w:r>
            <w:r w:rsidR="00BF6BDA">
              <w:rPr>
                <w:rFonts w:eastAsia="Times New Roman"/>
                <w:szCs w:val="28"/>
              </w:rPr>
              <w:t>đ</w:t>
            </w:r>
            <w:r w:rsidRPr="00701A19">
              <w:rPr>
                <w:rFonts w:eastAsia="Times New Roman"/>
                <w:szCs w:val="28"/>
              </w:rPr>
              <w:t>ặc khu Cồn Cỏ</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Viện trợ cho phường, xã</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r>
      <w:tr w:rsidR="003B3F14" w:rsidRPr="003B3F14" w:rsidTr="00CC7CC6">
        <w:trPr>
          <w:gridAfter w:val="1"/>
          <w:wAfter w:w="7" w:type="dxa"/>
          <w:trHeight w:val="340"/>
        </w:trPr>
        <w:tc>
          <w:tcPr>
            <w:tcW w:w="708" w:type="dxa"/>
            <w:shd w:val="clear" w:color="000000" w:fill="FFFFFF"/>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20</w:t>
            </w:r>
          </w:p>
        </w:tc>
        <w:tc>
          <w:tcPr>
            <w:tcW w:w="6238" w:type="dxa"/>
            <w:shd w:val="clear" w:color="000000" w:fill="FFFFFF"/>
            <w:vAlign w:val="center"/>
            <w:hideMark/>
          </w:tcPr>
          <w:p w:rsidR="002920D2" w:rsidRPr="00701A19" w:rsidRDefault="002920D2" w:rsidP="002A3D7C">
            <w:pPr>
              <w:spacing w:before="20" w:after="20"/>
              <w:rPr>
                <w:rFonts w:eastAsia="Times New Roman"/>
                <w:szCs w:val="28"/>
              </w:rPr>
            </w:pPr>
            <w:r w:rsidRPr="00701A19">
              <w:rPr>
                <w:rFonts w:eastAsia="Times New Roman"/>
                <w:szCs w:val="28"/>
              </w:rPr>
              <w:t>Tiền bồi thường cho Nhà nước khi gây thiệt hại trong quản lý và sử dụng đất đai; bồi thường, hỗ trợ khi Nhà nước thu hồi đất</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000000" w:fill="FFFFFF"/>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Đất thuộc tỉnh quản lý</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BF6BDA">
            <w:pPr>
              <w:spacing w:before="20" w:after="20"/>
              <w:jc w:val="both"/>
              <w:rPr>
                <w:rFonts w:eastAsia="Times New Roman"/>
                <w:szCs w:val="28"/>
              </w:rPr>
            </w:pPr>
            <w:r w:rsidRPr="00701A19">
              <w:rPr>
                <w:rFonts w:eastAsia="Times New Roman"/>
                <w:szCs w:val="28"/>
              </w:rPr>
              <w:t xml:space="preserve">- Đất thuộc </w:t>
            </w:r>
            <w:r w:rsidR="00BF6BDA">
              <w:rPr>
                <w:rFonts w:eastAsia="Times New Roman"/>
                <w:szCs w:val="28"/>
              </w:rPr>
              <w:t>đ</w:t>
            </w:r>
            <w:r w:rsidRPr="00701A19">
              <w:rPr>
                <w:rFonts w:eastAsia="Times New Roman"/>
                <w:szCs w:val="28"/>
              </w:rPr>
              <w:t>ặc khu Cồn Cỏ</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Đất thuộc phường, xã quản lý</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r>
      <w:tr w:rsidR="003B3F14" w:rsidRPr="003B3F14" w:rsidTr="00CC7CC6">
        <w:trPr>
          <w:gridAfter w:val="1"/>
          <w:wAfter w:w="7" w:type="dxa"/>
          <w:trHeight w:val="340"/>
        </w:trPr>
        <w:tc>
          <w:tcPr>
            <w:tcW w:w="708" w:type="dxa"/>
            <w:shd w:val="clear" w:color="000000" w:fill="FFFFFF"/>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21</w:t>
            </w:r>
          </w:p>
        </w:tc>
        <w:tc>
          <w:tcPr>
            <w:tcW w:w="6238" w:type="dxa"/>
            <w:shd w:val="clear" w:color="000000" w:fill="FFFFFF"/>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Tiền sử dụng khu vực biển đối với trường hợp giao khu vực biển thuộc thẩm quyền giao của địa phương</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vAlign w:val="center"/>
            <w:hideMark/>
          </w:tcPr>
          <w:p w:rsidR="002920D2" w:rsidRPr="00701A19" w:rsidRDefault="002920D2" w:rsidP="002A3D7C">
            <w:pPr>
              <w:spacing w:before="20" w:after="20"/>
              <w:rPr>
                <w:rFonts w:eastAsia="Times New Roman"/>
                <w:szCs w:val="28"/>
              </w:rPr>
            </w:pPr>
            <w:r w:rsidRPr="00701A19">
              <w:rPr>
                <w:rFonts w:eastAsia="Times New Roman"/>
                <w:szCs w:val="28"/>
              </w:rPr>
              <w:t> </w:t>
            </w:r>
          </w:p>
        </w:tc>
        <w:tc>
          <w:tcPr>
            <w:tcW w:w="6238" w:type="dxa"/>
            <w:shd w:val="clear" w:color="000000" w:fill="FFFFFF"/>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Ủy ban nhân dân tỉnh hoặc cơ quan quản lý nhà nước cấp tỉnh ra quyết định giao khu vực biển</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A05621">
        <w:trPr>
          <w:gridAfter w:val="1"/>
          <w:wAfter w:w="7" w:type="dxa"/>
          <w:trHeight w:val="340"/>
        </w:trPr>
        <w:tc>
          <w:tcPr>
            <w:tcW w:w="708" w:type="dxa"/>
            <w:shd w:val="clear" w:color="000000" w:fill="FFFFFF"/>
            <w:vAlign w:val="center"/>
          </w:tcPr>
          <w:p w:rsidR="002920D2" w:rsidRPr="00701A19" w:rsidRDefault="002920D2" w:rsidP="002A3D7C">
            <w:pPr>
              <w:spacing w:before="20" w:after="20"/>
              <w:rPr>
                <w:rFonts w:eastAsia="Times New Roman"/>
                <w:szCs w:val="28"/>
              </w:rPr>
            </w:pPr>
          </w:p>
        </w:tc>
        <w:tc>
          <w:tcPr>
            <w:tcW w:w="6238" w:type="dxa"/>
            <w:shd w:val="clear" w:color="000000" w:fill="FFFFFF"/>
            <w:vAlign w:val="center"/>
            <w:hideMark/>
          </w:tcPr>
          <w:p w:rsidR="002920D2" w:rsidRPr="00701A19" w:rsidRDefault="002920D2" w:rsidP="00BF6BDA">
            <w:pPr>
              <w:spacing w:before="20" w:after="20"/>
              <w:jc w:val="both"/>
              <w:rPr>
                <w:rFonts w:eastAsia="Times New Roman"/>
                <w:szCs w:val="28"/>
              </w:rPr>
            </w:pPr>
            <w:r w:rsidRPr="00701A19">
              <w:rPr>
                <w:rFonts w:eastAsia="Times New Roman"/>
                <w:szCs w:val="28"/>
              </w:rPr>
              <w:t xml:space="preserve">- Ủy ban nhân dân </w:t>
            </w:r>
            <w:r w:rsidR="00BF6BDA">
              <w:rPr>
                <w:rFonts w:eastAsia="Times New Roman"/>
                <w:szCs w:val="28"/>
              </w:rPr>
              <w:t>đ</w:t>
            </w:r>
            <w:r w:rsidRPr="00701A19">
              <w:rPr>
                <w:rFonts w:eastAsia="Times New Roman"/>
                <w:szCs w:val="28"/>
              </w:rPr>
              <w:t xml:space="preserve">ặc khu Cồn Cỏ hoặc cơ quan quản lý nhà nước </w:t>
            </w:r>
            <w:r w:rsidR="00BF6BDA">
              <w:rPr>
                <w:rFonts w:eastAsia="Times New Roman"/>
                <w:szCs w:val="28"/>
              </w:rPr>
              <w:t>đ</w:t>
            </w:r>
            <w:r w:rsidRPr="00701A19">
              <w:rPr>
                <w:rFonts w:eastAsia="Times New Roman"/>
                <w:szCs w:val="28"/>
              </w:rPr>
              <w:t>ặc khu Cồn Cỏ ra quyết định giao khu vực biển</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A05621">
        <w:trPr>
          <w:gridAfter w:val="1"/>
          <w:wAfter w:w="7" w:type="dxa"/>
          <w:trHeight w:val="340"/>
        </w:trPr>
        <w:tc>
          <w:tcPr>
            <w:tcW w:w="708" w:type="dxa"/>
            <w:shd w:val="clear" w:color="000000" w:fill="FFFFFF"/>
            <w:vAlign w:val="center"/>
          </w:tcPr>
          <w:p w:rsidR="002920D2" w:rsidRPr="00701A19" w:rsidRDefault="002920D2" w:rsidP="002A3D7C">
            <w:pPr>
              <w:spacing w:before="20" w:after="20"/>
              <w:rPr>
                <w:rFonts w:eastAsia="Times New Roman"/>
                <w:szCs w:val="28"/>
              </w:rPr>
            </w:pPr>
          </w:p>
        </w:tc>
        <w:tc>
          <w:tcPr>
            <w:tcW w:w="6238" w:type="dxa"/>
            <w:shd w:val="clear" w:color="000000" w:fill="FFFFFF"/>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Ủy ban nhân dân phường, xã hoặc cơ quan quản lý nhà nước phường, xã ra quyết định giao khu vực biển</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r>
      <w:tr w:rsidR="003B3F14" w:rsidRPr="003B3F14" w:rsidTr="00CC7CC6">
        <w:trPr>
          <w:gridAfter w:val="1"/>
          <w:wAfter w:w="7" w:type="dxa"/>
          <w:trHeight w:val="340"/>
        </w:trPr>
        <w:tc>
          <w:tcPr>
            <w:tcW w:w="708" w:type="dxa"/>
            <w:shd w:val="clear" w:color="auto" w:fill="auto"/>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lastRenderedPageBreak/>
              <w:t>22</w:t>
            </w:r>
          </w:p>
        </w:tc>
        <w:tc>
          <w:tcPr>
            <w:tcW w:w="6238" w:type="dxa"/>
            <w:shd w:val="clear" w:color="auto" w:fill="auto"/>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Tiền bảo vệ, phát triển đất trồng lúa</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noWrap/>
            <w:vAlign w:val="center"/>
            <w:hideMark/>
          </w:tcPr>
          <w:p w:rsidR="002920D2" w:rsidRPr="00701A19" w:rsidRDefault="002920D2" w:rsidP="00AF77F1">
            <w:pPr>
              <w:spacing w:before="20" w:after="20"/>
              <w:jc w:val="center"/>
              <w:rPr>
                <w:rFonts w:eastAsia="Times New Roman"/>
                <w:szCs w:val="28"/>
              </w:rPr>
            </w:pPr>
            <w:r w:rsidRPr="00701A19">
              <w:rPr>
                <w:rFonts w:eastAsia="Times New Roman"/>
                <w:szCs w:val="28"/>
              </w:rPr>
              <w:t>2</w:t>
            </w:r>
            <w:r w:rsidR="00AF77F1">
              <w:rPr>
                <w:rFonts w:eastAsia="Times New Roman"/>
                <w:szCs w:val="28"/>
              </w:rPr>
              <w:t>3</w:t>
            </w:r>
          </w:p>
        </w:tc>
        <w:tc>
          <w:tcPr>
            <w:tcW w:w="6238" w:type="dxa"/>
            <w:shd w:val="clear" w:color="000000" w:fill="FFFFFF"/>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Tiền chậm nộp các khoản khác còn lại do các ngành quản lý</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000000" w:fill="FFFFFF"/>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Đối với tiền chậm nộp các khoản thu ngân sách địa phương còn lại</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000000" w:fill="FFFFFF"/>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xml:space="preserve"> + Cấp tỉnh quản lý thu</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000000" w:fill="FFFFFF"/>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xml:space="preserve"> + Đặc khu Cồn Cỏ quản lý thu</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000000" w:fill="FFFFFF"/>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xml:space="preserve"> + Phường, xã quản lý thu</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r>
      <w:tr w:rsidR="003B3F14" w:rsidRPr="003B3F14" w:rsidTr="00CC7CC6">
        <w:trPr>
          <w:gridAfter w:val="1"/>
          <w:wAfter w:w="7" w:type="dxa"/>
          <w:trHeight w:val="340"/>
        </w:trPr>
        <w:tc>
          <w:tcPr>
            <w:tcW w:w="708" w:type="dxa"/>
            <w:shd w:val="clear" w:color="000000" w:fill="FFFFFF"/>
            <w:noWrap/>
            <w:vAlign w:val="center"/>
            <w:hideMark/>
          </w:tcPr>
          <w:p w:rsidR="002920D2" w:rsidRPr="00701A19" w:rsidRDefault="002920D2" w:rsidP="002A3D7C">
            <w:pPr>
              <w:spacing w:before="20" w:after="20"/>
              <w:rPr>
                <w:rFonts w:eastAsia="Times New Roman"/>
                <w:szCs w:val="28"/>
              </w:rPr>
            </w:pPr>
            <w:r w:rsidRPr="00701A19">
              <w:rPr>
                <w:rFonts w:eastAsia="Times New Roman"/>
                <w:szCs w:val="28"/>
              </w:rPr>
              <w:t> </w:t>
            </w:r>
          </w:p>
        </w:tc>
        <w:tc>
          <w:tcPr>
            <w:tcW w:w="6238" w:type="dxa"/>
            <w:shd w:val="clear" w:color="000000" w:fill="FFFFFF"/>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Các khoản thu tiền chậm nộp do đơn vị thuộc cấp trung ương quản lý nộp ngân sách nhưng ngân sách địa phương được hưởng</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noWrap/>
            <w:vAlign w:val="center"/>
            <w:hideMark/>
          </w:tcPr>
          <w:p w:rsidR="002920D2" w:rsidRPr="00701A19" w:rsidRDefault="002920D2" w:rsidP="00AF77F1">
            <w:pPr>
              <w:spacing w:before="20" w:after="20"/>
              <w:jc w:val="center"/>
              <w:rPr>
                <w:rFonts w:eastAsia="Times New Roman"/>
                <w:szCs w:val="28"/>
              </w:rPr>
            </w:pPr>
            <w:r w:rsidRPr="00701A19">
              <w:rPr>
                <w:rFonts w:eastAsia="Times New Roman"/>
                <w:szCs w:val="28"/>
              </w:rPr>
              <w:t>2</w:t>
            </w:r>
            <w:r w:rsidR="00AF77F1">
              <w:rPr>
                <w:rFonts w:eastAsia="Times New Roman"/>
                <w:szCs w:val="28"/>
              </w:rPr>
              <w:t>4</w:t>
            </w:r>
          </w:p>
        </w:tc>
        <w:tc>
          <w:tcPr>
            <w:tcW w:w="6238" w:type="dxa"/>
            <w:shd w:val="clear" w:color="000000" w:fill="FFFFFF"/>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Các khoản thu khác của ngân sách theo quy định của pháp luật</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000000" w:fill="FFFFFF"/>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Đơn vị cấp tỉnh quản lý, nộp ngân sách</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000000" w:fill="FFFFFF"/>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6238" w:type="dxa"/>
            <w:shd w:val="clear" w:color="000000" w:fill="FFFFFF"/>
            <w:vAlign w:val="center"/>
            <w:hideMark/>
          </w:tcPr>
          <w:p w:rsidR="002920D2" w:rsidRPr="00701A19" w:rsidRDefault="002920D2" w:rsidP="00BF6BDA">
            <w:pPr>
              <w:spacing w:before="20" w:after="20"/>
              <w:jc w:val="both"/>
              <w:rPr>
                <w:rFonts w:eastAsia="Times New Roman"/>
                <w:szCs w:val="28"/>
              </w:rPr>
            </w:pPr>
            <w:r w:rsidRPr="00701A19">
              <w:rPr>
                <w:rFonts w:eastAsia="Times New Roman"/>
                <w:szCs w:val="28"/>
              </w:rPr>
              <w:t xml:space="preserve">- Đơn vị thuộc </w:t>
            </w:r>
            <w:r w:rsidR="00BF6BDA">
              <w:rPr>
                <w:rFonts w:eastAsia="Times New Roman"/>
                <w:szCs w:val="28"/>
              </w:rPr>
              <w:t>đ</w:t>
            </w:r>
            <w:r w:rsidRPr="00701A19">
              <w:rPr>
                <w:rFonts w:eastAsia="Times New Roman"/>
                <w:szCs w:val="28"/>
              </w:rPr>
              <w:t>ặc Cồn Cỏ quản lý, nộp ngân sách</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r>
      <w:tr w:rsidR="003B3F14" w:rsidRPr="003B3F14" w:rsidTr="00CC7CC6">
        <w:trPr>
          <w:gridAfter w:val="1"/>
          <w:wAfter w:w="7" w:type="dxa"/>
          <w:trHeight w:val="340"/>
        </w:trPr>
        <w:tc>
          <w:tcPr>
            <w:tcW w:w="708" w:type="dxa"/>
            <w:shd w:val="clear" w:color="auto" w:fill="auto"/>
            <w:noWrap/>
            <w:vAlign w:val="center"/>
            <w:hideMark/>
          </w:tcPr>
          <w:p w:rsidR="002920D2" w:rsidRPr="00701A19" w:rsidRDefault="002920D2" w:rsidP="002A3D7C">
            <w:pPr>
              <w:spacing w:before="20" w:after="20"/>
              <w:rPr>
                <w:rFonts w:eastAsia="Times New Roman"/>
                <w:szCs w:val="28"/>
              </w:rPr>
            </w:pPr>
            <w:r w:rsidRPr="00701A19">
              <w:rPr>
                <w:rFonts w:eastAsia="Times New Roman"/>
                <w:szCs w:val="28"/>
              </w:rPr>
              <w:t> </w:t>
            </w:r>
          </w:p>
        </w:tc>
        <w:tc>
          <w:tcPr>
            <w:tcW w:w="6238" w:type="dxa"/>
            <w:shd w:val="clear" w:color="000000" w:fill="FFFFFF"/>
            <w:vAlign w:val="center"/>
            <w:hideMark/>
          </w:tcPr>
          <w:p w:rsidR="002920D2" w:rsidRPr="00701A19" w:rsidRDefault="002920D2" w:rsidP="002A3D7C">
            <w:pPr>
              <w:spacing w:before="20" w:after="20"/>
              <w:jc w:val="both"/>
              <w:rPr>
                <w:rFonts w:eastAsia="Times New Roman"/>
                <w:szCs w:val="28"/>
              </w:rPr>
            </w:pPr>
            <w:r w:rsidRPr="00701A19">
              <w:rPr>
                <w:rFonts w:eastAsia="Times New Roman"/>
                <w:szCs w:val="28"/>
              </w:rPr>
              <w:t>- Đơn vị thuộc phường, xã quản lý, nộp ngân sách</w:t>
            </w:r>
          </w:p>
        </w:tc>
        <w:tc>
          <w:tcPr>
            <w:tcW w:w="1134"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99"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 </w:t>
            </w:r>
          </w:p>
        </w:tc>
        <w:tc>
          <w:tcPr>
            <w:tcW w:w="1160" w:type="dxa"/>
            <w:shd w:val="clear" w:color="auto" w:fill="auto"/>
            <w:noWrap/>
            <w:vAlign w:val="center"/>
            <w:hideMark/>
          </w:tcPr>
          <w:p w:rsidR="002920D2" w:rsidRPr="00701A19" w:rsidRDefault="002920D2" w:rsidP="002A3D7C">
            <w:pPr>
              <w:spacing w:before="20" w:after="20"/>
              <w:jc w:val="center"/>
              <w:rPr>
                <w:rFonts w:eastAsia="Times New Roman"/>
                <w:szCs w:val="28"/>
              </w:rPr>
            </w:pPr>
            <w:r w:rsidRPr="00701A19">
              <w:rPr>
                <w:rFonts w:eastAsia="Times New Roman"/>
                <w:szCs w:val="28"/>
              </w:rPr>
              <w:t>100%</w:t>
            </w:r>
          </w:p>
        </w:tc>
      </w:tr>
    </w:tbl>
    <w:p w:rsidR="002920D2" w:rsidRPr="003B3F14" w:rsidRDefault="0021583C" w:rsidP="00BF6BDA">
      <w:pPr>
        <w:spacing w:before="240"/>
        <w:ind w:firstLine="720"/>
        <w:jc w:val="both"/>
        <w:rPr>
          <w:spacing w:val="-2"/>
        </w:rPr>
      </w:pPr>
      <w:bookmarkStart w:id="0" w:name="_GoBack"/>
      <w:bookmarkEnd w:id="0"/>
      <w:r w:rsidRPr="003B3F14">
        <w:rPr>
          <w:spacing w:val="-2"/>
        </w:rPr>
        <w:t>(*) Riêng tiền thu được từ xử lý tài sản công, tiền thu được từ chuyển nhượng quyền sử dụng đất trong trường hợp quyền sử dụng đất có nguồn gốc nhận chuyển nhượng hoặc thuê đất trả tiền thuê đất một lần cho cả thời gian thuê mà số tiền đã trả không có nguồn gốc từ ngân sách nhà nước của đơn vị sự nghiệp công lập thực hiện theo quy định hiện hành về quản lý, sử dụng tài sản công; áp dụng quy định phân cấp nguồn thu, tỷ lệ phần trăm (%) phân chia giữa các cấp ngân sách đối với khoản nộp ngân sách nhà nước theo quy định pháp luật hiện hành.</w:t>
      </w:r>
      <w:r w:rsidRPr="003B3F14">
        <w:rPr>
          <w:spacing w:val="-2"/>
        </w:rPr>
        <w:tab/>
      </w:r>
      <w:r w:rsidRPr="003B3F14">
        <w:rPr>
          <w:spacing w:val="-2"/>
        </w:rPr>
        <w:tab/>
      </w:r>
      <w:r w:rsidRPr="003B3F14">
        <w:rPr>
          <w:spacing w:val="-2"/>
        </w:rPr>
        <w:tab/>
      </w:r>
      <w:r w:rsidRPr="003B3F14">
        <w:rPr>
          <w:spacing w:val="-2"/>
        </w:rPr>
        <w:tab/>
      </w:r>
    </w:p>
    <w:p w:rsidR="002920D2" w:rsidRPr="003B3F14" w:rsidRDefault="002920D2" w:rsidP="002920D2"/>
    <w:p w:rsidR="002920D2" w:rsidRPr="003B3F14" w:rsidRDefault="002920D2" w:rsidP="002920D2"/>
    <w:p w:rsidR="002920D2" w:rsidRPr="003B3F14" w:rsidRDefault="002920D2" w:rsidP="002920D2"/>
    <w:p w:rsidR="002920D2" w:rsidRPr="003B3F14" w:rsidRDefault="002920D2" w:rsidP="002920D2"/>
    <w:p w:rsidR="002920D2" w:rsidRPr="003B3F14" w:rsidRDefault="002920D2" w:rsidP="002920D2"/>
    <w:p w:rsidR="002920D2" w:rsidRPr="003B3F14" w:rsidRDefault="002920D2" w:rsidP="002920D2"/>
    <w:p w:rsidR="002920D2" w:rsidRPr="003B3F14" w:rsidRDefault="002920D2" w:rsidP="002920D2"/>
    <w:p w:rsidR="002920D2" w:rsidRPr="003B3F14" w:rsidRDefault="002920D2" w:rsidP="002920D2"/>
    <w:p w:rsidR="002920D2" w:rsidRPr="003B3F14" w:rsidRDefault="002920D2" w:rsidP="002920D2">
      <w:pPr>
        <w:rPr>
          <w:b/>
        </w:rPr>
      </w:pPr>
      <w:r w:rsidRPr="003B3F14">
        <w:rPr>
          <w:b/>
        </w:rPr>
        <w:t>II. CÁC KHOẢN THU PHÂN CHIA THEO TỶ LỆ PHẦN TRĂM (%)</w:t>
      </w: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232"/>
        <w:gridCol w:w="1134"/>
        <w:gridCol w:w="1205"/>
        <w:gridCol w:w="1160"/>
        <w:gridCol w:w="8"/>
      </w:tblGrid>
      <w:tr w:rsidR="003B3F14" w:rsidRPr="003B3F14" w:rsidTr="00AE2923">
        <w:trPr>
          <w:trHeight w:val="340"/>
          <w:tblHeader/>
        </w:trPr>
        <w:tc>
          <w:tcPr>
            <w:tcW w:w="709" w:type="dxa"/>
            <w:vMerge w:val="restart"/>
            <w:shd w:val="clear" w:color="auto" w:fill="auto"/>
            <w:vAlign w:val="center"/>
            <w:hideMark/>
          </w:tcPr>
          <w:p w:rsidR="002920D2" w:rsidRPr="000D64A5" w:rsidRDefault="002920D2" w:rsidP="002A3D7C">
            <w:pPr>
              <w:spacing w:before="20" w:after="20"/>
              <w:jc w:val="center"/>
              <w:rPr>
                <w:rFonts w:eastAsia="Times New Roman"/>
                <w:b/>
                <w:bCs/>
                <w:sz w:val="26"/>
                <w:szCs w:val="26"/>
              </w:rPr>
            </w:pPr>
            <w:r w:rsidRPr="000D64A5">
              <w:rPr>
                <w:rFonts w:eastAsia="Times New Roman"/>
                <w:b/>
                <w:bCs/>
                <w:sz w:val="26"/>
                <w:szCs w:val="26"/>
              </w:rPr>
              <w:t>STT</w:t>
            </w:r>
          </w:p>
        </w:tc>
        <w:tc>
          <w:tcPr>
            <w:tcW w:w="6232" w:type="dxa"/>
            <w:vMerge w:val="restart"/>
            <w:shd w:val="clear" w:color="auto" w:fill="auto"/>
            <w:vAlign w:val="center"/>
            <w:hideMark/>
          </w:tcPr>
          <w:p w:rsidR="002920D2" w:rsidRPr="000D64A5" w:rsidRDefault="002920D2" w:rsidP="002A3D7C">
            <w:pPr>
              <w:spacing w:before="20" w:after="20"/>
              <w:jc w:val="center"/>
              <w:rPr>
                <w:rFonts w:eastAsia="Times New Roman"/>
                <w:b/>
                <w:bCs/>
                <w:sz w:val="26"/>
                <w:szCs w:val="26"/>
              </w:rPr>
            </w:pPr>
            <w:r w:rsidRPr="000D64A5">
              <w:rPr>
                <w:rFonts w:eastAsia="Times New Roman"/>
                <w:b/>
                <w:bCs/>
                <w:sz w:val="26"/>
                <w:szCs w:val="26"/>
              </w:rPr>
              <w:t>Tên các khoản thu</w:t>
            </w:r>
          </w:p>
        </w:tc>
        <w:tc>
          <w:tcPr>
            <w:tcW w:w="1134" w:type="dxa"/>
            <w:vMerge w:val="restart"/>
            <w:shd w:val="clear" w:color="auto" w:fill="auto"/>
            <w:vAlign w:val="center"/>
            <w:hideMark/>
          </w:tcPr>
          <w:p w:rsidR="002920D2" w:rsidRPr="000D64A5" w:rsidRDefault="002920D2" w:rsidP="002A3D7C">
            <w:pPr>
              <w:spacing w:before="20" w:after="20"/>
              <w:jc w:val="center"/>
              <w:rPr>
                <w:rFonts w:eastAsia="Times New Roman"/>
                <w:b/>
                <w:bCs/>
                <w:sz w:val="26"/>
                <w:szCs w:val="26"/>
              </w:rPr>
            </w:pPr>
            <w:r w:rsidRPr="000D64A5">
              <w:rPr>
                <w:rFonts w:eastAsia="Times New Roman"/>
                <w:b/>
                <w:bCs/>
                <w:sz w:val="26"/>
                <w:szCs w:val="26"/>
              </w:rPr>
              <w:t xml:space="preserve">Ngân </w:t>
            </w:r>
            <w:r w:rsidRPr="000D64A5">
              <w:rPr>
                <w:rFonts w:eastAsia="Times New Roman"/>
                <w:b/>
                <w:bCs/>
                <w:sz w:val="26"/>
                <w:szCs w:val="26"/>
              </w:rPr>
              <w:lastRenderedPageBreak/>
              <w:t>sách cấp tỉnh</w:t>
            </w:r>
          </w:p>
        </w:tc>
        <w:tc>
          <w:tcPr>
            <w:tcW w:w="2373" w:type="dxa"/>
            <w:gridSpan w:val="3"/>
            <w:shd w:val="clear" w:color="auto" w:fill="auto"/>
            <w:vAlign w:val="center"/>
            <w:hideMark/>
          </w:tcPr>
          <w:p w:rsidR="002920D2" w:rsidRPr="000D64A5" w:rsidRDefault="002920D2" w:rsidP="002A3D7C">
            <w:pPr>
              <w:spacing w:before="20" w:after="20"/>
              <w:jc w:val="center"/>
              <w:rPr>
                <w:rFonts w:eastAsia="Times New Roman"/>
                <w:b/>
                <w:bCs/>
                <w:szCs w:val="28"/>
              </w:rPr>
            </w:pPr>
            <w:r w:rsidRPr="000D64A5">
              <w:rPr>
                <w:rFonts w:eastAsia="Times New Roman"/>
                <w:b/>
                <w:bCs/>
                <w:szCs w:val="28"/>
              </w:rPr>
              <w:lastRenderedPageBreak/>
              <w:t>Ngân sách cấp xã</w:t>
            </w:r>
          </w:p>
        </w:tc>
      </w:tr>
      <w:tr w:rsidR="003B3F14" w:rsidRPr="003B3F14" w:rsidTr="00AE2923">
        <w:trPr>
          <w:gridAfter w:val="1"/>
          <w:wAfter w:w="8" w:type="dxa"/>
          <w:trHeight w:val="340"/>
          <w:tblHeader/>
        </w:trPr>
        <w:tc>
          <w:tcPr>
            <w:tcW w:w="709" w:type="dxa"/>
            <w:vMerge/>
            <w:vAlign w:val="center"/>
            <w:hideMark/>
          </w:tcPr>
          <w:p w:rsidR="00DF6B38" w:rsidRPr="000D64A5" w:rsidRDefault="00DF6B38" w:rsidP="002A3D7C">
            <w:pPr>
              <w:spacing w:before="20" w:after="20"/>
              <w:rPr>
                <w:rFonts w:eastAsia="Times New Roman"/>
                <w:b/>
                <w:bCs/>
                <w:sz w:val="26"/>
                <w:szCs w:val="26"/>
              </w:rPr>
            </w:pPr>
          </w:p>
        </w:tc>
        <w:tc>
          <w:tcPr>
            <w:tcW w:w="6232" w:type="dxa"/>
            <w:vMerge/>
            <w:vAlign w:val="center"/>
            <w:hideMark/>
          </w:tcPr>
          <w:p w:rsidR="00DF6B38" w:rsidRPr="000D64A5" w:rsidRDefault="00DF6B38" w:rsidP="002A3D7C">
            <w:pPr>
              <w:spacing w:before="20" w:after="20"/>
              <w:rPr>
                <w:rFonts w:eastAsia="Times New Roman"/>
                <w:b/>
                <w:bCs/>
                <w:sz w:val="26"/>
                <w:szCs w:val="26"/>
              </w:rPr>
            </w:pPr>
          </w:p>
        </w:tc>
        <w:tc>
          <w:tcPr>
            <w:tcW w:w="1134" w:type="dxa"/>
            <w:vMerge/>
            <w:vAlign w:val="center"/>
            <w:hideMark/>
          </w:tcPr>
          <w:p w:rsidR="00DF6B38" w:rsidRPr="000D64A5" w:rsidRDefault="00DF6B38" w:rsidP="002A3D7C">
            <w:pPr>
              <w:spacing w:before="20" w:after="20"/>
              <w:rPr>
                <w:rFonts w:eastAsia="Times New Roman"/>
                <w:b/>
                <w:bCs/>
                <w:sz w:val="26"/>
                <w:szCs w:val="26"/>
              </w:rPr>
            </w:pPr>
          </w:p>
        </w:tc>
        <w:tc>
          <w:tcPr>
            <w:tcW w:w="1205" w:type="dxa"/>
            <w:shd w:val="clear" w:color="auto" w:fill="auto"/>
            <w:vAlign w:val="center"/>
            <w:hideMark/>
          </w:tcPr>
          <w:p w:rsidR="00DF6B38" w:rsidRPr="00701A19" w:rsidRDefault="00DF6B38" w:rsidP="002A3D7C">
            <w:pPr>
              <w:spacing w:before="20" w:after="20"/>
              <w:jc w:val="center"/>
              <w:rPr>
                <w:rFonts w:eastAsia="Times New Roman"/>
                <w:b/>
                <w:bCs/>
                <w:sz w:val="26"/>
                <w:szCs w:val="26"/>
              </w:rPr>
            </w:pPr>
            <w:r w:rsidRPr="003B3F14">
              <w:rPr>
                <w:rFonts w:eastAsia="Times New Roman"/>
                <w:b/>
                <w:bCs/>
                <w:sz w:val="26"/>
                <w:szCs w:val="26"/>
              </w:rPr>
              <w:t>Đ</w:t>
            </w:r>
            <w:r w:rsidRPr="00701A19">
              <w:rPr>
                <w:rFonts w:eastAsia="Times New Roman"/>
                <w:b/>
                <w:bCs/>
                <w:sz w:val="26"/>
                <w:szCs w:val="26"/>
              </w:rPr>
              <w:t>ặc khu</w:t>
            </w:r>
          </w:p>
        </w:tc>
        <w:tc>
          <w:tcPr>
            <w:tcW w:w="1160" w:type="dxa"/>
            <w:shd w:val="clear" w:color="auto" w:fill="auto"/>
            <w:vAlign w:val="center"/>
            <w:hideMark/>
          </w:tcPr>
          <w:p w:rsidR="00DF6B38" w:rsidRPr="00701A19" w:rsidRDefault="00DF6B38" w:rsidP="002A3D7C">
            <w:pPr>
              <w:spacing w:before="20" w:after="20"/>
              <w:jc w:val="center"/>
              <w:rPr>
                <w:rFonts w:eastAsia="Times New Roman"/>
                <w:b/>
                <w:bCs/>
                <w:sz w:val="26"/>
                <w:szCs w:val="26"/>
              </w:rPr>
            </w:pPr>
            <w:r w:rsidRPr="003B3F14">
              <w:rPr>
                <w:rFonts w:eastAsia="Times New Roman"/>
                <w:b/>
                <w:bCs/>
                <w:sz w:val="26"/>
                <w:szCs w:val="26"/>
              </w:rPr>
              <w:t>P</w:t>
            </w:r>
            <w:r w:rsidRPr="00701A19">
              <w:rPr>
                <w:rFonts w:eastAsia="Times New Roman"/>
                <w:b/>
                <w:bCs/>
                <w:sz w:val="26"/>
                <w:szCs w:val="26"/>
              </w:rPr>
              <w:t>hường, xã</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lastRenderedPageBreak/>
              <w:t>1</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Thuế giá trị gia tăng (không kể thuế GTGT hàng hóa nhập khẩu và thuế GTGT thu từ hoạt động xổ số kiến thiết; thuế GTGT do doanh nghiệp ngoại tỉnh phân bổ hoặc kê khai nộp thuế cho ngân sách tỉnh đối với hoạt động chuyển nhượng bất động sản và hoạt động xây dựng trên địa bàn tỉnh quy định tại khoản 12 mục II Phụ lục 01), bao gồm cả khoản tiền chậm nộp theo quy định của Luật Quản lý thuế</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Thuế GTGT thu từ các doanh nghiệp nhà nước trung ương và địa phương quản lý (doanh nghiệp do Nhà nước nắm giữ trên 50% vốn điều lệ hoặc tổng số cổ phần có quyền biểu quyết); doanh nghiệp có vốn đầu tư nước ngoài</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Thuế GTGT của doanh nghiệp có vốn góp của nhà nước nắm giữ từ 50% vốn điều lệ trở xuống; doanh nghiệp ngoài quốc doanh; doanh nghiệp tư nhân; đơn vị sự nghiệp và hợp tác xã hoạt động theo Luật Doanh nghiệp, Luật Hợp tác xã</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Chi cục Thuế quản lý thu; Đội Thuế quản lý thu đối với địa bàn phường, xã</w:t>
            </w:r>
          </w:p>
        </w:tc>
        <w:tc>
          <w:tcPr>
            <w:tcW w:w="1134"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205"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pacing w:val="-6"/>
                <w:szCs w:val="28"/>
              </w:rPr>
            </w:pPr>
            <w:r w:rsidRPr="000D64A5">
              <w:rPr>
                <w:rFonts w:eastAsia="Times New Roman"/>
                <w:spacing w:val="-6"/>
                <w:szCs w:val="28"/>
              </w:rPr>
              <w:t xml:space="preserve"> + Đội Thuế quản lý thu đối với địa bàn Đặc khu Cồn Cỏ</w:t>
            </w:r>
          </w:p>
        </w:tc>
        <w:tc>
          <w:tcPr>
            <w:tcW w:w="1134"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160"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Thuế GTGT thu từ hộ gia đình, cá nhân trên địa bàn Đặc khu Cồn Cỏ</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Thuế GTGT thu từ hộ gia đình, cá nhân trên địa bàn phường, xã</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Thu tại chợ trung tâm</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pacing w:val="-6"/>
                <w:szCs w:val="28"/>
              </w:rPr>
            </w:pPr>
            <w:r w:rsidRPr="000D64A5">
              <w:rPr>
                <w:rFonts w:eastAsia="Times New Roman"/>
                <w:spacing w:val="-6"/>
                <w:szCs w:val="28"/>
              </w:rPr>
              <w:t xml:space="preserve"> + Thu trên địa bàn phường (không gồm chợ trung tâm)</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50%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50%</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Thu trên địa bàn xã (không gồm chợ trung tâm)</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30%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70%</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2</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Thuế thu nhập doanh nghiệp (không kể thuế TNDN của các đơn vị hạch toán toàn ngành và thuế TNDN thu từ hoạt động xổ số kiến thiết; thuế TNDN do doanh nghiệp ngoại tỉnh phân bổ hoặc kê khai nộp thuế cho ngân sách tỉnh đối với hoạt động kinh doanh bất động sản quy định tại khoản 12 mục II Phụ lục 01), bao gồm cả khoản tiền chậm nộp theo quy định của Luật quản lý thuế</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Thuế TNDN thu từ các doanh nghiệp nhà nước trung ương và địa phương quản lý (doanh nghiệp do </w:t>
            </w:r>
            <w:r w:rsidRPr="000D64A5">
              <w:rPr>
                <w:rFonts w:eastAsia="Times New Roman"/>
                <w:szCs w:val="28"/>
              </w:rPr>
              <w:lastRenderedPageBreak/>
              <w:t>Nhà nước nắm giữ trên 50% vốn điều lệ hoặc tổng số cổ phần có quyền biểu quyết); doanh nghiệp có vốn đầu tư nước ngoài</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lastRenderedPageBreak/>
              <w:t>100%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vAlign w:val="center"/>
            <w:hideMark/>
          </w:tcPr>
          <w:p w:rsidR="002920D2" w:rsidRPr="000D64A5" w:rsidRDefault="002920D2" w:rsidP="002A3D7C">
            <w:pPr>
              <w:spacing w:before="20" w:after="20"/>
              <w:jc w:val="center"/>
              <w:rPr>
                <w:rFonts w:eastAsia="Times New Roman"/>
                <w:szCs w:val="28"/>
              </w:rPr>
            </w:pPr>
            <w:r w:rsidRPr="000D64A5">
              <w:rPr>
                <w:rFonts w:eastAsia="Times New Roman"/>
                <w:strike/>
                <w:szCs w:val="28"/>
              </w:rPr>
              <w:lastRenderedPageBreak/>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Thuế TNDN của doanh nghiệp có vốn góp của nhà nước nắm giữ từ 50% vốn điều lệ trở xuống; doanh nghiệp ngoài quốc doanh; doanh nghiệp tư nhân; đơn vị sự nghiệp và hợp tác xã hoạt động theo Luật Doanh nghiệp, Luật Hợp tác xã</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Chi cục Thuế quản lý thu; Đội Thuế quản lý thu đối với địa bàn phường, xã</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pacing w:val="-6"/>
                <w:szCs w:val="28"/>
              </w:rPr>
            </w:pPr>
            <w:r w:rsidRPr="000D64A5">
              <w:rPr>
                <w:rFonts w:eastAsia="Times New Roman"/>
                <w:spacing w:val="-6"/>
                <w:szCs w:val="28"/>
              </w:rPr>
              <w:t xml:space="preserve"> + Đội Thuế quản lý thu đối với địa bàn Đặc khu Cồn Cỏ</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3</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Thuế tiêu thụ đặc biệt (TTĐB) thu từ hàng hóa, dịch vụ trong nước (không kể thuế TTĐB hàng hóa nhập khẩu và thuế TTĐB thu từ hoạt động xổ số kiến thiết), bao gồm cả khoản tiền chậm nộp theo quy định của Luật Quản lý thuế</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Thuế TTĐB thu từ các doanh nghiệp nhà nước trung ương và địa phương quản lý (doanh nghiệp do Nhà nước nắm giữ trên 50% vốn điều lệ hoặc tổng số cổ phần có quyền biểu quyết); doanh nghiệp có vốn đầu tư nước ngoài</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trike/>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Thuế TTĐB của doanh nghiệp có vốn góp của nhà nước nắm giữ từ 50% vốn điều lệ trở xuống; doanh nghiệp ngoài quốc doanh; doanh nghiệp tư nhân; đơn vị sự nghiệp và hợp tác xã hoạt động theo Luật Doanh nghiệp, Luật Hợp tác xã</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trike/>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Chi cục Thuế quản lý thu; Đội Thuế quản lý thu đối với địa bàn phường, xã</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pacing w:val="-6"/>
                <w:szCs w:val="28"/>
              </w:rPr>
            </w:pPr>
            <w:r w:rsidRPr="000D64A5">
              <w:rPr>
                <w:rFonts w:eastAsia="Times New Roman"/>
                <w:spacing w:val="-6"/>
                <w:szCs w:val="28"/>
              </w:rPr>
              <w:t xml:space="preserve"> + Đội Thuế quản lý thu đối với địa bàn Đặc khu Cồn Cỏ</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Thuế TTĐB thu từ hộ gia đình, cá nhân:</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Địa bàn Đặc khu Cồn Cỏ</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Địa bàn phường, xã</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30%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70%</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4</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Thuế thu nhập cá nhân, bao gồm cả khoản tiền chậm nộp theo quy định của Luật Quản lý thuế</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4.1</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Thuế thu nhập cá nhân từ trúng thưởng xổ số kiến thiết, xổ số điện toán và thuế thu nhập từ trúng </w:t>
            </w:r>
            <w:r w:rsidRPr="000D64A5">
              <w:rPr>
                <w:rFonts w:eastAsia="Times New Roman"/>
                <w:szCs w:val="28"/>
              </w:rPr>
              <w:lastRenderedPageBreak/>
              <w:t xml:space="preserve">thưởng khác </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lastRenderedPageBreak/>
              <w:t>100%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lastRenderedPageBreak/>
              <w:t>4.2</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Thuế thu nhập cá nhân (không kể thuế thu nhập cá nhân từ hoạt động xổ số kiến thiết)</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a) Chi Cục Thuế quản lý thu</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b) Đội thuế Đặc khu Cồn Cỏ quản lý thu</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c) Đội Thuế quản lý thu đối với địa bàn phường, xã:</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Thuế thu nhập cá nhân từ chuyển nhượng bất động sản, nhận thừa kế và nhận quà tặng từ bất động sản</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50%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50%</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Thuế thu nhập cá nhân từ các cá nhân sản xuất kinh doanh hàng hóa, dịch vụ:</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Thu tại các chợ trung tâm</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Trên địa bàn phường</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50%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50%</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Trên địa bàn xã</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30%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70%</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Thuế thu nhập cá nhân còn lại</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5</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Thuế tài nguyên (không kể thuế tài nguyên thu từ hoạt động thăm dò, khai thác dầu, khí), bao gồm cả khoản tiền chậm nộp theo quy định của Luật Quản lý thuế</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Thuế tài nguyên thu từ các doanh nghiệp nhà nước trung ương và địa phương quản lý (doanh nghiệp do Nhà nước nắm giữ trên 50% vốn điều lệ hoặc tổng số cổ phần có quyền biểu quyết); doanh nghiệp có vốn đầu tư nước ngoài</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Thuế tài nguyên của doanh nghiệp có vốn góp của nhà nước nắm giữ từ 50% vốn điều lệ trở xuống; doanh nghiệp ngoài quốc doanh; doanh nghiệp tư nhân; đơn vị sự nghiệp và hợp tác xã hoạt động theo Luật Doanh nghiệp, Luật Hợp tác xã</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Chi cục Thuế quản lý thu; Đội Thuế quản lý thu đối với địa bàn phường, xã</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pacing w:val="-6"/>
                <w:szCs w:val="28"/>
              </w:rPr>
            </w:pPr>
            <w:r w:rsidRPr="000D64A5">
              <w:rPr>
                <w:rFonts w:eastAsia="Times New Roman"/>
                <w:spacing w:val="-6"/>
                <w:szCs w:val="28"/>
              </w:rPr>
              <w:t xml:space="preserve"> + Đội Thuế quản lý thu đối với địa bàn Đặc khu Cồn Cỏ</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Thuế tài nguyên thu từ hộ gia đình, cá nhân:</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Trên địa bàn Đặc khu Cồn Cỏ</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Trên địa bàn phường, xã</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30%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70%</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6</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Lệ phí môn bài</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Lệ phí môn bài thu từ các doanh nghiệp nhà nước </w:t>
            </w:r>
            <w:r w:rsidRPr="000D64A5">
              <w:rPr>
                <w:rFonts w:eastAsia="Times New Roman"/>
                <w:szCs w:val="28"/>
              </w:rPr>
              <w:lastRenderedPageBreak/>
              <w:t>trung ương và địa phương quản lý (doanh nghiệp do Nhà nước nắm giữ trên 50% vốn điều lệ hoặc tổng số cổ phần có quyền biểu quyết); doanh nghiệp có vốn đầu tư nước ngoài</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lastRenderedPageBreak/>
              <w:t>100%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lastRenderedPageBreak/>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Lệ phí môn bài thu từ doanh nghiệp có vốn góp của nhà nước nắm giữ từ 50% vốn điều lệ trở xuống; doanh nghiệp ngoài quốc doanh; doanh nghiệp tư nhân; đơn vị sự nghiệp và hợp tác xã hoạt động theo Luật Doanh nghiệp, Luật Hợp tác xã:</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Chi cục Thuế quản lý thu; Đội Thuế quản lý thu đối với địa bàn phường, xã</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pacing w:val="-6"/>
                <w:szCs w:val="28"/>
              </w:rPr>
            </w:pPr>
            <w:r w:rsidRPr="000D64A5">
              <w:rPr>
                <w:rFonts w:eastAsia="Times New Roman"/>
                <w:spacing w:val="-6"/>
                <w:szCs w:val="28"/>
              </w:rPr>
              <w:t xml:space="preserve"> + Đội Thuế quản lý thu đối với địa bàn Đặc khu Cồn Cỏ</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Lệ phí môn bài thu thu từ hộ gia đình, cá nhân trên địa bàn Đặc khu Cồn Cỏ</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Lệ phí môn bài thu thu từ hộ gia đình, cá nhân trên địa bàn phường, xã</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Thu tại các chợ trung tâm</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Trên địa bàn Phường Đông Hà, Phường Nam</w:t>
            </w:r>
            <w:r w:rsidRPr="000D64A5">
              <w:rPr>
                <w:rFonts w:eastAsia="Times New Roman"/>
                <w:szCs w:val="28"/>
              </w:rPr>
              <w:br/>
              <w:t>Đông Hà (không gồm chợ trung tâm)</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50%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50%</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Trên địa bàn Phường Quảng Trị; xã</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30%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70%</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7</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Lệ phí trước bạ</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7.1</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Trên địa bàn Đặc khu Cồn Cỏ</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7.2</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Trên địa bàn phường, xã</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Lệ phí trước bạ nhà, đất:</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Phường Đông Hà, Phường Nam Đông Hà</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50%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50%</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Phường Quảng Trị, Đặc khu Cồn Cỏ, xã</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30%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70%</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Lệ phí trước bạ còn lại</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8</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Thuế sử dụng đất phi nông nghiệp</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Phường Đông Hà, Phường Nam Đông Hà</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50%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50%</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Đặc khu Cồn Cỏ</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000000" w:fill="FFFFFF"/>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000000" w:fill="FFFFFF"/>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Phường Quảng Trị; xã</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9</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Thu tiền cấp quyền khai thác khoáng sản, bao gồm tiền chậm nộp tiền cấp quyền khai thác khoáng sản</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Trên địa bàn Đặc khu Cồn Cỏ:</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Giấy phép do cơ quan trung ương cấp (phần ngân sách địa phương được hưởng theo quy định)</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30%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70%</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lastRenderedPageBreak/>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Giấp phép do Ủy ban nhân dân tỉnh cấp (hoặc cơ quan địa phương cấp phép theo thẩm quyền)</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30%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70%</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Trên địa bàn phường, xã:</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Giấy phép do cơ quan trung ương cấp (phần ngân sách địa phương được hưởng theo quy định)</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xml:space="preserve"> + Giấp phép do Ủy ban nhân dân tỉnh cấp (hoặc cơ quan địa phương cấp phép theo thẩm quyền)</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w:t>
            </w:r>
          </w:p>
        </w:tc>
        <w:tc>
          <w:tcPr>
            <w:tcW w:w="6232" w:type="dxa"/>
            <w:shd w:val="clear" w:color="auto" w:fill="auto"/>
            <w:vAlign w:val="center"/>
            <w:hideMark/>
          </w:tcPr>
          <w:p w:rsidR="002920D2" w:rsidRPr="000D64A5" w:rsidRDefault="002920D2" w:rsidP="002A3D7C">
            <w:pPr>
              <w:spacing w:before="20" w:after="20"/>
              <w:jc w:val="both"/>
              <w:rPr>
                <w:rFonts w:eastAsia="Times New Roman"/>
                <w:spacing w:val="-4"/>
                <w:szCs w:val="28"/>
              </w:rPr>
            </w:pPr>
            <w:r w:rsidRPr="000D64A5">
              <w:rPr>
                <w:rFonts w:eastAsia="Times New Roman"/>
                <w:spacing w:val="-4"/>
                <w:szCs w:val="28"/>
              </w:rPr>
              <w:t>Thu tiền cấp quyền khai thác tài nguyên nước, bao gồm tiền chậm nộp tiền cấp quyền khai thác tài nguyên nước</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Thu tiền cấp quyền khai thác tài nguyên nước đối với giấy phép do cơ quan trung ương cấp phép (phần ngân sách địa phương được hưởng theo quy định)</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Thu tiền cấp quyền khai thác tài nguyên nước đối với giấy phép do cơ quan địa phương cấp phép</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11</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Thu tiền sử dụng đất</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12</w:t>
            </w:r>
          </w:p>
        </w:tc>
        <w:tc>
          <w:tcPr>
            <w:tcW w:w="6232" w:type="dxa"/>
            <w:shd w:val="clear" w:color="auto" w:fill="auto"/>
            <w:vAlign w:val="center"/>
            <w:hideMark/>
          </w:tcPr>
          <w:p w:rsidR="002920D2" w:rsidRPr="000D64A5" w:rsidRDefault="002920D2" w:rsidP="00183479">
            <w:pPr>
              <w:spacing w:before="20" w:after="20"/>
              <w:jc w:val="both"/>
              <w:rPr>
                <w:rFonts w:eastAsia="Times New Roman"/>
                <w:szCs w:val="28"/>
              </w:rPr>
            </w:pPr>
            <w:r w:rsidRPr="000D64A5">
              <w:rPr>
                <w:rFonts w:eastAsia="Times New Roman"/>
                <w:szCs w:val="28"/>
              </w:rPr>
              <w:t xml:space="preserve">Thuế giá trị gia tăng, thuế thu nhập doanh nghiệp do doanh nghiệp ngoại tỉnh phân bổ hoặc kê khai nộp thuế cho ngân sách tỉnh đối với hoạt động chuyển nhượng bất động sản và hoạt </w:t>
            </w:r>
            <w:r w:rsidR="00183479" w:rsidRPr="003B3F14">
              <w:rPr>
                <w:rFonts w:eastAsia="Times New Roman"/>
                <w:szCs w:val="28"/>
              </w:rPr>
              <w:t>động xây dựng trên địa bàn tỉnh</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Trên địa bàn Đặc khu Cồn Cỏ</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70%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30%</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r w:rsidR="003B3F14" w:rsidRPr="003B3F14" w:rsidTr="00AE2923">
        <w:trPr>
          <w:gridAfter w:val="1"/>
          <w:wAfter w:w="8" w:type="dxa"/>
          <w:trHeight w:val="340"/>
        </w:trPr>
        <w:tc>
          <w:tcPr>
            <w:tcW w:w="709"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6232" w:type="dxa"/>
            <w:shd w:val="clear" w:color="auto" w:fill="auto"/>
            <w:vAlign w:val="center"/>
            <w:hideMark/>
          </w:tcPr>
          <w:p w:rsidR="002920D2" w:rsidRPr="000D64A5" w:rsidRDefault="002920D2" w:rsidP="002A3D7C">
            <w:pPr>
              <w:spacing w:before="20" w:after="20"/>
              <w:jc w:val="both"/>
              <w:rPr>
                <w:rFonts w:eastAsia="Times New Roman"/>
                <w:szCs w:val="28"/>
              </w:rPr>
            </w:pPr>
            <w:r w:rsidRPr="000D64A5">
              <w:rPr>
                <w:rFonts w:eastAsia="Times New Roman"/>
                <w:szCs w:val="28"/>
              </w:rPr>
              <w:t>- Trên địa bàn phường, xã</w:t>
            </w:r>
          </w:p>
        </w:tc>
        <w:tc>
          <w:tcPr>
            <w:tcW w:w="1134"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100%</w:t>
            </w:r>
          </w:p>
        </w:tc>
        <w:tc>
          <w:tcPr>
            <w:tcW w:w="1205"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c>
          <w:tcPr>
            <w:tcW w:w="1160" w:type="dxa"/>
            <w:shd w:val="clear" w:color="auto" w:fill="auto"/>
            <w:noWrap/>
            <w:vAlign w:val="center"/>
            <w:hideMark/>
          </w:tcPr>
          <w:p w:rsidR="002920D2" w:rsidRPr="000D64A5" w:rsidRDefault="002920D2" w:rsidP="002A3D7C">
            <w:pPr>
              <w:spacing w:before="20" w:after="20"/>
              <w:jc w:val="center"/>
              <w:rPr>
                <w:rFonts w:eastAsia="Times New Roman"/>
                <w:szCs w:val="28"/>
              </w:rPr>
            </w:pPr>
            <w:r w:rsidRPr="000D64A5">
              <w:rPr>
                <w:rFonts w:eastAsia="Times New Roman"/>
                <w:szCs w:val="28"/>
              </w:rPr>
              <w:t> </w:t>
            </w:r>
          </w:p>
        </w:tc>
      </w:tr>
    </w:tbl>
    <w:p w:rsidR="002920D2" w:rsidRPr="003B3F14" w:rsidRDefault="002920D2" w:rsidP="002920D2"/>
    <w:p w:rsidR="002920D2" w:rsidRPr="003B3F14" w:rsidRDefault="002920D2" w:rsidP="002920D2"/>
    <w:p w:rsidR="002920D2" w:rsidRPr="003B3F14" w:rsidRDefault="002920D2" w:rsidP="002920D2"/>
    <w:p w:rsidR="002920D2" w:rsidRPr="003B3F14" w:rsidRDefault="002920D2" w:rsidP="002920D2"/>
    <w:p w:rsidR="002920D2" w:rsidRPr="003B3F14" w:rsidRDefault="002920D2" w:rsidP="002920D2"/>
    <w:p w:rsidR="002920D2" w:rsidRPr="003B3F14" w:rsidRDefault="002920D2" w:rsidP="002920D2"/>
    <w:p w:rsidR="002920D2" w:rsidRPr="003B3F14" w:rsidRDefault="002920D2" w:rsidP="002920D2"/>
    <w:sectPr w:rsidR="002920D2" w:rsidRPr="003B3F14" w:rsidSect="00213A9A">
      <w:headerReference w:type="default" r:id="rId8"/>
      <w:pgSz w:w="12240" w:h="15840" w:code="1"/>
      <w:pgMar w:top="851" w:right="851" w:bottom="567" w:left="1134"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24B" w:rsidRDefault="00A6524B" w:rsidP="00865F2A">
      <w:pPr>
        <w:spacing w:after="0"/>
      </w:pPr>
      <w:r>
        <w:separator/>
      </w:r>
    </w:p>
  </w:endnote>
  <w:endnote w:type="continuationSeparator" w:id="0">
    <w:p w:rsidR="00A6524B" w:rsidRDefault="00A6524B" w:rsidP="00865F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24B" w:rsidRDefault="00A6524B" w:rsidP="00865F2A">
      <w:pPr>
        <w:spacing w:after="0"/>
      </w:pPr>
      <w:r>
        <w:separator/>
      </w:r>
    </w:p>
  </w:footnote>
  <w:footnote w:type="continuationSeparator" w:id="0">
    <w:p w:rsidR="00A6524B" w:rsidRDefault="00A6524B" w:rsidP="00865F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31723"/>
      <w:docPartObj>
        <w:docPartGallery w:val="Page Numbers (Top of Page)"/>
        <w:docPartUnique/>
      </w:docPartObj>
    </w:sdtPr>
    <w:sdtEndPr>
      <w:rPr>
        <w:noProof/>
        <w:sz w:val="26"/>
        <w:szCs w:val="26"/>
      </w:rPr>
    </w:sdtEndPr>
    <w:sdtContent>
      <w:p w:rsidR="00D212A4" w:rsidRPr="00865F2A" w:rsidRDefault="00D212A4">
        <w:pPr>
          <w:pStyle w:val="Header"/>
          <w:jc w:val="center"/>
          <w:rPr>
            <w:sz w:val="26"/>
            <w:szCs w:val="26"/>
          </w:rPr>
        </w:pPr>
        <w:r w:rsidRPr="00865F2A">
          <w:rPr>
            <w:sz w:val="26"/>
            <w:szCs w:val="26"/>
          </w:rPr>
          <w:fldChar w:fldCharType="begin"/>
        </w:r>
        <w:r w:rsidRPr="00865F2A">
          <w:rPr>
            <w:sz w:val="26"/>
            <w:szCs w:val="26"/>
          </w:rPr>
          <w:instrText xml:space="preserve"> PAGE   \* MERGEFORMAT </w:instrText>
        </w:r>
        <w:r w:rsidRPr="00865F2A">
          <w:rPr>
            <w:sz w:val="26"/>
            <w:szCs w:val="26"/>
          </w:rPr>
          <w:fldChar w:fldCharType="separate"/>
        </w:r>
        <w:r w:rsidR="00BF6BDA">
          <w:rPr>
            <w:noProof/>
            <w:sz w:val="26"/>
            <w:szCs w:val="26"/>
          </w:rPr>
          <w:t>5</w:t>
        </w:r>
        <w:r w:rsidRPr="00865F2A">
          <w:rPr>
            <w:noProof/>
            <w:sz w:val="26"/>
            <w:szCs w:val="26"/>
          </w:rPr>
          <w:fldChar w:fldCharType="end"/>
        </w:r>
      </w:p>
    </w:sdtContent>
  </w:sdt>
  <w:p w:rsidR="00D212A4" w:rsidRDefault="00D212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19"/>
    <w:rsid w:val="000007BC"/>
    <w:rsid w:val="00092414"/>
    <w:rsid w:val="000D64A5"/>
    <w:rsid w:val="0011008F"/>
    <w:rsid w:val="00183479"/>
    <w:rsid w:val="00213A9A"/>
    <w:rsid w:val="0021583C"/>
    <w:rsid w:val="002775C9"/>
    <w:rsid w:val="00285BFD"/>
    <w:rsid w:val="002920D2"/>
    <w:rsid w:val="002A3D7C"/>
    <w:rsid w:val="002F2167"/>
    <w:rsid w:val="0030735F"/>
    <w:rsid w:val="003B3F14"/>
    <w:rsid w:val="00430D1A"/>
    <w:rsid w:val="005027C5"/>
    <w:rsid w:val="00546EED"/>
    <w:rsid w:val="005514AC"/>
    <w:rsid w:val="005761BF"/>
    <w:rsid w:val="0061663A"/>
    <w:rsid w:val="00621DF9"/>
    <w:rsid w:val="006B6442"/>
    <w:rsid w:val="00701A19"/>
    <w:rsid w:val="00765989"/>
    <w:rsid w:val="00773CA8"/>
    <w:rsid w:val="0086289B"/>
    <w:rsid w:val="00865F2A"/>
    <w:rsid w:val="00951843"/>
    <w:rsid w:val="009944E5"/>
    <w:rsid w:val="00A05621"/>
    <w:rsid w:val="00A6524B"/>
    <w:rsid w:val="00AE2923"/>
    <w:rsid w:val="00AF77F1"/>
    <w:rsid w:val="00BF6BDA"/>
    <w:rsid w:val="00C80680"/>
    <w:rsid w:val="00CC7CC6"/>
    <w:rsid w:val="00D212A4"/>
    <w:rsid w:val="00DF6B38"/>
    <w:rsid w:val="00E24D62"/>
    <w:rsid w:val="00E56FE6"/>
    <w:rsid w:val="00E605FC"/>
    <w:rsid w:val="00E63342"/>
    <w:rsid w:val="00EF4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F2A"/>
    <w:pPr>
      <w:tabs>
        <w:tab w:val="center" w:pos="4680"/>
        <w:tab w:val="right" w:pos="9360"/>
      </w:tabs>
      <w:spacing w:after="0"/>
    </w:pPr>
  </w:style>
  <w:style w:type="character" w:customStyle="1" w:styleId="HeaderChar">
    <w:name w:val="Header Char"/>
    <w:basedOn w:val="DefaultParagraphFont"/>
    <w:link w:val="Header"/>
    <w:uiPriority w:val="99"/>
    <w:rsid w:val="00865F2A"/>
  </w:style>
  <w:style w:type="paragraph" w:styleId="Footer">
    <w:name w:val="footer"/>
    <w:basedOn w:val="Normal"/>
    <w:link w:val="FooterChar"/>
    <w:uiPriority w:val="99"/>
    <w:unhideWhenUsed/>
    <w:rsid w:val="00865F2A"/>
    <w:pPr>
      <w:tabs>
        <w:tab w:val="center" w:pos="4680"/>
        <w:tab w:val="right" w:pos="9360"/>
      </w:tabs>
      <w:spacing w:after="0"/>
    </w:pPr>
  </w:style>
  <w:style w:type="character" w:customStyle="1" w:styleId="FooterChar">
    <w:name w:val="Footer Char"/>
    <w:basedOn w:val="DefaultParagraphFont"/>
    <w:link w:val="Footer"/>
    <w:uiPriority w:val="99"/>
    <w:rsid w:val="00865F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F2A"/>
    <w:pPr>
      <w:tabs>
        <w:tab w:val="center" w:pos="4680"/>
        <w:tab w:val="right" w:pos="9360"/>
      </w:tabs>
      <w:spacing w:after="0"/>
    </w:pPr>
  </w:style>
  <w:style w:type="character" w:customStyle="1" w:styleId="HeaderChar">
    <w:name w:val="Header Char"/>
    <w:basedOn w:val="DefaultParagraphFont"/>
    <w:link w:val="Header"/>
    <w:uiPriority w:val="99"/>
    <w:rsid w:val="00865F2A"/>
  </w:style>
  <w:style w:type="paragraph" w:styleId="Footer">
    <w:name w:val="footer"/>
    <w:basedOn w:val="Normal"/>
    <w:link w:val="FooterChar"/>
    <w:uiPriority w:val="99"/>
    <w:unhideWhenUsed/>
    <w:rsid w:val="00865F2A"/>
    <w:pPr>
      <w:tabs>
        <w:tab w:val="center" w:pos="4680"/>
        <w:tab w:val="right" w:pos="9360"/>
      </w:tabs>
      <w:spacing w:after="0"/>
    </w:pPr>
  </w:style>
  <w:style w:type="character" w:customStyle="1" w:styleId="FooterChar">
    <w:name w:val="Footer Char"/>
    <w:basedOn w:val="DefaultParagraphFont"/>
    <w:link w:val="Footer"/>
    <w:uiPriority w:val="99"/>
    <w:rsid w:val="0086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50212">
      <w:bodyDiv w:val="1"/>
      <w:marLeft w:val="0"/>
      <w:marRight w:val="0"/>
      <w:marTop w:val="0"/>
      <w:marBottom w:val="0"/>
      <w:divBdr>
        <w:top w:val="none" w:sz="0" w:space="0" w:color="auto"/>
        <w:left w:val="none" w:sz="0" w:space="0" w:color="auto"/>
        <w:bottom w:val="none" w:sz="0" w:space="0" w:color="auto"/>
        <w:right w:val="none" w:sz="0" w:space="0" w:color="auto"/>
      </w:divBdr>
    </w:div>
    <w:div w:id="5969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3F0A8-DB97-450D-A850-747A53D4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PC</cp:lastModifiedBy>
  <cp:revision>35</cp:revision>
  <dcterms:created xsi:type="dcterms:W3CDTF">2025-06-14T08:53:00Z</dcterms:created>
  <dcterms:modified xsi:type="dcterms:W3CDTF">2025-06-25T07:59:00Z</dcterms:modified>
</cp:coreProperties>
</file>