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67" w:rsidRPr="000E4892" w:rsidRDefault="00912CFB" w:rsidP="008F375C">
      <w:pPr>
        <w:jc w:val="center"/>
        <w:rPr>
          <w:b/>
        </w:rPr>
      </w:pPr>
      <w:r>
        <w:rPr>
          <w:b/>
        </w:rPr>
        <w:t>Phụ lục</w:t>
      </w:r>
    </w:p>
    <w:p w:rsidR="00FF1AE7" w:rsidRPr="000E4892" w:rsidRDefault="00FF1AE7" w:rsidP="008F375C">
      <w:pPr>
        <w:jc w:val="center"/>
        <w:rPr>
          <w:b/>
        </w:rPr>
      </w:pPr>
      <w:r w:rsidRPr="000E4892">
        <w:rPr>
          <w:b/>
        </w:rPr>
        <w:t xml:space="preserve">BÁO CÁO KẾT QUẢ GIẢI QUYẾT Ý KIẾN, KIẾN NGHỊ </w:t>
      </w:r>
      <w:r w:rsidR="00DB3383">
        <w:rPr>
          <w:b/>
        </w:rPr>
        <w:t>CHUYÊN ĐỀ VỀ LĨNH VỰC GIÁO DỤC TẠI BUỔI TIẾP XÚC CỬ TRI CỦA TỔ ĐẠI BIỂU HĐND TỈNH ĐƠN VỊ THỊ XÃ QUẢNG TRỊ</w:t>
      </w:r>
    </w:p>
    <w:p w:rsidR="008F375C" w:rsidRPr="000E4892" w:rsidRDefault="008F375C" w:rsidP="008F375C">
      <w:pPr>
        <w:jc w:val="center"/>
        <w:rPr>
          <w:b/>
        </w:rPr>
      </w:pPr>
      <w:r w:rsidRPr="000E4892">
        <w:rPr>
          <w:b/>
        </w:rPr>
        <w:t xml:space="preserve">(Những nội dung thuộc thẩm quyền giải quyết của </w:t>
      </w:r>
      <w:r w:rsidR="00912CFB">
        <w:rPr>
          <w:b/>
        </w:rPr>
        <w:t>cơ quan, đơn vị, địa phương</w:t>
      </w:r>
      <w:r w:rsidRPr="000E4892">
        <w:rPr>
          <w:b/>
        </w:rPr>
        <w:t>)</w:t>
      </w:r>
    </w:p>
    <w:tbl>
      <w:tblPr>
        <w:tblStyle w:val="TableGrid"/>
        <w:tblW w:w="14175" w:type="dxa"/>
        <w:tblInd w:w="108" w:type="dxa"/>
        <w:tblLook w:val="04A0" w:firstRow="1" w:lastRow="0" w:firstColumn="1" w:lastColumn="0" w:noHBand="0" w:noVBand="1"/>
      </w:tblPr>
      <w:tblGrid>
        <w:gridCol w:w="567"/>
        <w:gridCol w:w="5387"/>
        <w:gridCol w:w="8221"/>
      </w:tblGrid>
      <w:tr w:rsidR="006B11CA" w:rsidRPr="00041EFC" w:rsidTr="0061057D">
        <w:trPr>
          <w:trHeight w:val="428"/>
          <w:tblHeader/>
        </w:trPr>
        <w:tc>
          <w:tcPr>
            <w:tcW w:w="567" w:type="dxa"/>
            <w:shd w:val="clear" w:color="auto" w:fill="D9D9D9" w:themeFill="background1" w:themeFillShade="D9"/>
          </w:tcPr>
          <w:p w:rsidR="006B11CA" w:rsidRPr="00041EFC" w:rsidRDefault="006B11CA" w:rsidP="006B11CA">
            <w:pPr>
              <w:spacing w:before="40" w:after="40" w:line="340" w:lineRule="exact"/>
              <w:jc w:val="center"/>
              <w:rPr>
                <w:rFonts w:cs="Times New Roman"/>
                <w:b/>
                <w:szCs w:val="26"/>
              </w:rPr>
            </w:pPr>
            <w:r w:rsidRPr="00041EFC">
              <w:rPr>
                <w:rFonts w:cs="Times New Roman"/>
                <w:b/>
                <w:szCs w:val="26"/>
              </w:rPr>
              <w:t>TT</w:t>
            </w:r>
          </w:p>
        </w:tc>
        <w:tc>
          <w:tcPr>
            <w:tcW w:w="5387" w:type="dxa"/>
            <w:shd w:val="clear" w:color="auto" w:fill="D9D9D9" w:themeFill="background1" w:themeFillShade="D9"/>
          </w:tcPr>
          <w:p w:rsidR="006B11CA" w:rsidRPr="00041EFC" w:rsidRDefault="006B11CA" w:rsidP="006B11CA">
            <w:pPr>
              <w:spacing w:before="40" w:after="40" w:line="340" w:lineRule="exact"/>
              <w:jc w:val="center"/>
              <w:rPr>
                <w:rFonts w:cs="Times New Roman"/>
                <w:b/>
                <w:szCs w:val="26"/>
              </w:rPr>
            </w:pPr>
            <w:r w:rsidRPr="00041EFC">
              <w:rPr>
                <w:rFonts w:cs="Times New Roman"/>
                <w:b/>
                <w:szCs w:val="26"/>
              </w:rPr>
              <w:t>Nội dung kiến nghị</w:t>
            </w:r>
          </w:p>
        </w:tc>
        <w:tc>
          <w:tcPr>
            <w:tcW w:w="8221" w:type="dxa"/>
            <w:shd w:val="clear" w:color="auto" w:fill="D9D9D9" w:themeFill="background1" w:themeFillShade="D9"/>
          </w:tcPr>
          <w:p w:rsidR="006B11CA" w:rsidRPr="00041EFC" w:rsidRDefault="006B11CA" w:rsidP="006B11CA">
            <w:pPr>
              <w:spacing w:before="40" w:after="40" w:line="340" w:lineRule="exact"/>
              <w:jc w:val="center"/>
              <w:rPr>
                <w:rFonts w:cs="Times New Roman"/>
                <w:b/>
                <w:szCs w:val="26"/>
              </w:rPr>
            </w:pPr>
            <w:r w:rsidRPr="00041EFC">
              <w:rPr>
                <w:rFonts w:cs="Times New Roman"/>
                <w:b/>
                <w:szCs w:val="26"/>
              </w:rPr>
              <w:t>Nội dung giải quyết, trả lời</w:t>
            </w:r>
          </w:p>
        </w:tc>
      </w:tr>
      <w:tr w:rsidR="006B11CA" w:rsidRPr="00041EFC" w:rsidTr="0061057D">
        <w:tc>
          <w:tcPr>
            <w:tcW w:w="567" w:type="dxa"/>
          </w:tcPr>
          <w:p w:rsidR="006B11CA" w:rsidRPr="00041EFC" w:rsidRDefault="006B11CA" w:rsidP="006B11CA">
            <w:pPr>
              <w:spacing w:before="40" w:after="40" w:line="340" w:lineRule="exact"/>
              <w:rPr>
                <w:rFonts w:cs="Times New Roman"/>
                <w:szCs w:val="26"/>
              </w:rPr>
            </w:pPr>
            <w:r w:rsidRPr="00041EFC">
              <w:rPr>
                <w:rFonts w:cs="Times New Roman"/>
                <w:szCs w:val="26"/>
              </w:rPr>
              <w:t>1</w:t>
            </w:r>
          </w:p>
        </w:tc>
        <w:tc>
          <w:tcPr>
            <w:tcW w:w="5387" w:type="dxa"/>
          </w:tcPr>
          <w:p w:rsidR="006B11CA" w:rsidRPr="00DB3383" w:rsidRDefault="00DB3383" w:rsidP="00522665">
            <w:pPr>
              <w:widowControl w:val="0"/>
              <w:ind w:firstLine="318"/>
              <w:jc w:val="both"/>
              <w:rPr>
                <w:sz w:val="28"/>
                <w:szCs w:val="28"/>
              </w:rPr>
            </w:pPr>
            <w:r w:rsidRPr="00DB3383">
              <w:rPr>
                <w:rFonts w:cs="Times New Roman"/>
                <w:sz w:val="28"/>
                <w:szCs w:val="28"/>
                <w:lang w:val="vi-VN"/>
              </w:rPr>
              <w:t>Việc tổ chức thi nâng hạng cho các giáo viên mầm non còn chậm. Đề nghị các cơ quan chức năng sớm tổ chức kỳ thi hoặc xét thăng hạng đối với giáo viên mầm non hạng I khi giáo viên đã đủ tiêu chuẩn, đảm bảo quyền lợi cho các đối tượng.</w:t>
            </w:r>
          </w:p>
        </w:tc>
        <w:tc>
          <w:tcPr>
            <w:tcW w:w="8221" w:type="dxa"/>
          </w:tcPr>
          <w:p w:rsidR="00DB3383" w:rsidRPr="006512B7" w:rsidRDefault="00DB3383" w:rsidP="00522665">
            <w:pPr>
              <w:widowControl w:val="0"/>
              <w:ind w:firstLine="317"/>
              <w:jc w:val="both"/>
              <w:rPr>
                <w:rFonts w:cs="Times New Roman"/>
                <w:i/>
                <w:color w:val="000000"/>
                <w:sz w:val="28"/>
                <w:szCs w:val="28"/>
                <w:shd w:val="clear" w:color="auto" w:fill="FFFFFF"/>
                <w:lang w:val="vi-VN"/>
              </w:rPr>
            </w:pPr>
            <w:r w:rsidRPr="006512B7">
              <w:rPr>
                <w:rFonts w:cs="Times New Roman"/>
                <w:color w:val="000000"/>
                <w:sz w:val="28"/>
                <w:szCs w:val="28"/>
                <w:shd w:val="clear" w:color="auto" w:fill="FFFFFF"/>
                <w:lang w:val="vi-VN"/>
              </w:rPr>
              <w:t xml:space="preserve">Ngày 07/12/2023, Chính phủ ban hành Nghị định số 85/2023/NĐ-CP sửa đổi, bổ sung một số điều Nghị định số 115/2020/NĐ-CP </w:t>
            </w:r>
            <w:r w:rsidRPr="006512B7">
              <w:rPr>
                <w:rFonts w:cs="Times New Roman"/>
                <w:b/>
                <w:i/>
                <w:color w:val="000000"/>
                <w:sz w:val="28"/>
                <w:szCs w:val="28"/>
                <w:shd w:val="clear" w:color="auto" w:fill="FFFFFF"/>
                <w:lang w:val="vi-VN"/>
              </w:rPr>
              <w:t>(có hiệu lực thi hành kể từ ngày 07/12/2023)</w:t>
            </w:r>
            <w:r w:rsidRPr="006512B7">
              <w:rPr>
                <w:rFonts w:cs="Times New Roman"/>
                <w:color w:val="000000"/>
                <w:sz w:val="28"/>
                <w:szCs w:val="28"/>
                <w:shd w:val="clear" w:color="auto" w:fill="FFFFFF"/>
                <w:lang w:val="vi-VN"/>
              </w:rPr>
              <w:t>,</w:t>
            </w:r>
            <w:r w:rsidR="0042474A">
              <w:rPr>
                <w:rFonts w:cs="Times New Roman"/>
                <w:color w:val="000000"/>
                <w:sz w:val="28"/>
                <w:szCs w:val="28"/>
                <w:shd w:val="clear" w:color="auto" w:fill="FFFFFF"/>
              </w:rPr>
              <w:t xml:space="preserve"> </w:t>
            </w:r>
            <w:r w:rsidRPr="006512B7">
              <w:rPr>
                <w:rFonts w:cs="Times New Roman"/>
                <w:color w:val="000000"/>
                <w:sz w:val="28"/>
                <w:szCs w:val="28"/>
                <w:shd w:val="clear" w:color="auto" w:fill="FFFFFF"/>
                <w:lang w:val="vi-VN"/>
              </w:rPr>
              <w:t xml:space="preserve">trong đó quy định: </w:t>
            </w:r>
            <w:r w:rsidRPr="006512B7">
              <w:rPr>
                <w:rFonts w:cs="Times New Roman"/>
                <w:i/>
                <w:color w:val="000000"/>
                <w:sz w:val="28"/>
                <w:szCs w:val="28"/>
                <w:shd w:val="clear" w:color="auto" w:fill="FFFFFF"/>
                <w:lang w:val="vi-VN"/>
              </w:rPr>
              <w:t>“…UBND tỉnh chủ trì tổ chức hoặc phân cấp, ủy quyền việc xét thăng hạng chức danh nghề nghiệp hạng I trở xuống đối với viên chức làm việc tại đơn vị sự nghiệp công lập thuộc phạm vi quản lý”.</w:t>
            </w:r>
          </w:p>
          <w:p w:rsidR="00DB3383" w:rsidRPr="006512B7" w:rsidRDefault="00DB3383" w:rsidP="00522665">
            <w:pPr>
              <w:widowControl w:val="0"/>
              <w:ind w:firstLine="317"/>
              <w:jc w:val="both"/>
              <w:rPr>
                <w:rFonts w:cs="Times New Roman"/>
                <w:color w:val="000000"/>
                <w:sz w:val="28"/>
                <w:szCs w:val="28"/>
                <w:shd w:val="clear" w:color="auto" w:fill="FFFFFF"/>
                <w:lang w:val="vi-VN"/>
              </w:rPr>
            </w:pPr>
            <w:r w:rsidRPr="006512B7">
              <w:rPr>
                <w:rFonts w:cs="Times New Roman"/>
                <w:color w:val="000000"/>
                <w:sz w:val="28"/>
                <w:szCs w:val="28"/>
                <w:shd w:val="clear" w:color="auto" w:fill="FFFFFF"/>
                <w:lang w:val="vi-VN"/>
              </w:rPr>
              <w:t xml:space="preserve">Như vậy, kể từ ngày Nghị định số 85/2023/NĐ-CP có hiệu lực thi hành </w:t>
            </w:r>
            <w:r w:rsidRPr="006512B7">
              <w:rPr>
                <w:rFonts w:cs="Times New Roman"/>
                <w:b/>
                <w:i/>
                <w:color w:val="000000"/>
                <w:sz w:val="28"/>
                <w:szCs w:val="28"/>
                <w:shd w:val="clear" w:color="auto" w:fill="FFFFFF"/>
                <w:lang w:val="vi-VN"/>
              </w:rPr>
              <w:t>(ngày 07/12/2023)</w:t>
            </w:r>
            <w:r w:rsidRPr="006512B7">
              <w:rPr>
                <w:rFonts w:cs="Times New Roman"/>
                <w:color w:val="000000"/>
                <w:sz w:val="28"/>
                <w:szCs w:val="28"/>
                <w:shd w:val="clear" w:color="auto" w:fill="FFFFFF"/>
                <w:lang w:val="vi-VN"/>
              </w:rPr>
              <w:t xml:space="preserve"> thì UBND tỉnh mới được giao thẩm quyền chủ trì tổ chức việc xét thăng hạng chức danh nghề nghiệp hạng I</w:t>
            </w:r>
            <w:r w:rsidR="008C34D1">
              <w:rPr>
                <w:rFonts w:cs="Times New Roman"/>
                <w:color w:val="000000"/>
                <w:sz w:val="28"/>
                <w:szCs w:val="28"/>
                <w:shd w:val="clear" w:color="auto" w:fill="FFFFFF"/>
              </w:rPr>
              <w:t xml:space="preserve"> (trước đây quy định thẩm quyền tổ chức thi hoặc xét thăng hạng chức danh nghề nghiệp do các Bộ quản lý chức danh nghề nghiệp viên chức chuyên ngành thực hiện)</w:t>
            </w:r>
            <w:r w:rsidRPr="006512B7">
              <w:rPr>
                <w:rFonts w:cs="Times New Roman"/>
                <w:color w:val="000000"/>
                <w:sz w:val="28"/>
                <w:szCs w:val="28"/>
                <w:shd w:val="clear" w:color="auto" w:fill="FFFFFF"/>
                <w:lang w:val="vi-VN"/>
              </w:rPr>
              <w:t>.</w:t>
            </w:r>
          </w:p>
          <w:p w:rsidR="00DB3383" w:rsidRPr="004845FE" w:rsidRDefault="00DB3383" w:rsidP="00522665">
            <w:pPr>
              <w:pStyle w:val="NormalWeb"/>
              <w:widowControl w:val="0"/>
              <w:shd w:val="clear" w:color="auto" w:fill="FFFFFF"/>
              <w:spacing w:before="0" w:beforeAutospacing="0" w:after="0" w:afterAutospacing="0" w:line="276" w:lineRule="auto"/>
              <w:ind w:firstLine="317"/>
              <w:jc w:val="both"/>
              <w:rPr>
                <w:i/>
                <w:color w:val="000000"/>
                <w:sz w:val="28"/>
                <w:szCs w:val="28"/>
              </w:rPr>
            </w:pPr>
            <w:r>
              <w:rPr>
                <w:color w:val="000000"/>
                <w:sz w:val="28"/>
                <w:szCs w:val="28"/>
                <w:shd w:val="clear" w:color="auto" w:fill="FFFFFF"/>
              </w:rPr>
              <w:t xml:space="preserve">Bên cạnh đó, </w:t>
            </w:r>
            <w:r>
              <w:rPr>
                <w:bCs/>
                <w:iCs/>
                <w:sz w:val="28"/>
                <w:szCs w:val="28"/>
              </w:rPr>
              <w:t>t</w:t>
            </w:r>
            <w:r w:rsidRPr="004845FE">
              <w:rPr>
                <w:bCs/>
                <w:iCs/>
                <w:sz w:val="28"/>
                <w:szCs w:val="28"/>
              </w:rPr>
              <w:t>ại</w:t>
            </w:r>
            <w:r>
              <w:rPr>
                <w:bCs/>
                <w:iCs/>
                <w:sz w:val="28"/>
                <w:szCs w:val="28"/>
              </w:rPr>
              <w:t xml:space="preserve"> khoản 2 Điều 32 Nghị định số 115/2020/NĐ-CP được sửa đổi tại</w:t>
            </w:r>
            <w:r w:rsidRPr="004845FE">
              <w:rPr>
                <w:bCs/>
                <w:iCs/>
                <w:sz w:val="28"/>
                <w:szCs w:val="28"/>
              </w:rPr>
              <w:t xml:space="preserve"> khoản 1 Điều 16 Nghị </w:t>
            </w:r>
            <w:bookmarkStart w:id="0" w:name="_GoBack"/>
            <w:bookmarkEnd w:id="0"/>
            <w:r w:rsidRPr="004845FE">
              <w:rPr>
                <w:bCs/>
                <w:iCs/>
                <w:sz w:val="28"/>
                <w:szCs w:val="28"/>
              </w:rPr>
              <w:t>định số 85/2023/NĐ-CP</w:t>
            </w:r>
            <w:r>
              <w:rPr>
                <w:bCs/>
                <w:iCs/>
                <w:sz w:val="28"/>
                <w:szCs w:val="28"/>
              </w:rPr>
              <w:t xml:space="preserve"> </w:t>
            </w:r>
            <w:r w:rsidRPr="004845FE">
              <w:rPr>
                <w:bCs/>
                <w:iCs/>
                <w:sz w:val="28"/>
                <w:szCs w:val="28"/>
              </w:rPr>
              <w:t xml:space="preserve">quy định: </w:t>
            </w:r>
            <w:r w:rsidRPr="004845FE">
              <w:rPr>
                <w:bCs/>
                <w:i/>
                <w:iCs/>
                <w:sz w:val="28"/>
                <w:szCs w:val="28"/>
              </w:rPr>
              <w:t>“</w:t>
            </w:r>
            <w:r w:rsidRPr="004845FE">
              <w:rPr>
                <w:i/>
                <w:color w:val="000000"/>
                <w:sz w:val="28"/>
                <w:szCs w:val="28"/>
              </w:rPr>
              <w:t xml:space="preserve">Ngoài tiêu chuẩn, điều kiện quy định tại khoản 1 Điều này, </w:t>
            </w:r>
            <w:r w:rsidRPr="004845FE">
              <w:rPr>
                <w:b/>
                <w:i/>
                <w:color w:val="000000"/>
                <w:sz w:val="28"/>
                <w:szCs w:val="28"/>
              </w:rPr>
              <w:t>Bộ quản lý chức danh nghề nghiệp viên chức chuyên ngành có trách nhiệm quy định cụ thể tiêu chuẩn, điều kiện xét thăng hạng đối với trường hợp thăng lên hạng II và hạng I thuộc ngành, lĩnh vực quản lý</w:t>
            </w:r>
            <w:r w:rsidRPr="004845FE">
              <w:rPr>
                <w:i/>
                <w:color w:val="000000"/>
                <w:sz w:val="28"/>
                <w:szCs w:val="28"/>
              </w:rPr>
              <w:t xml:space="preserve"> gắn với yêu cầu của vị trí việc làm tương ứng với hạng chức danh nghề nghiệp dự xét, bảo đảm yêu cầu nâng cao chất lượng đội ngũ và </w:t>
            </w:r>
            <w:r w:rsidRPr="004845FE">
              <w:rPr>
                <w:i/>
                <w:color w:val="000000"/>
                <w:sz w:val="28"/>
                <w:szCs w:val="28"/>
              </w:rPr>
              <w:lastRenderedPageBreak/>
              <w:t>quyền lợi của viên chức.</w:t>
            </w:r>
          </w:p>
          <w:p w:rsidR="00DB3383" w:rsidRDefault="00660BDA" w:rsidP="00522665">
            <w:pPr>
              <w:widowControl w:val="0"/>
              <w:ind w:firstLine="317"/>
              <w:jc w:val="both"/>
              <w:rPr>
                <w:rFonts w:cs="Times New Roman"/>
                <w:color w:val="000000"/>
                <w:sz w:val="28"/>
                <w:szCs w:val="28"/>
              </w:rPr>
            </w:pPr>
            <w:r>
              <w:rPr>
                <w:rFonts w:cs="Times New Roman"/>
                <w:color w:val="000000"/>
                <w:sz w:val="28"/>
                <w:szCs w:val="28"/>
                <w:shd w:val="clear" w:color="auto" w:fill="FFFFFF"/>
              </w:rPr>
              <w:t>Tuy nhiên, đến</w:t>
            </w:r>
            <w:r w:rsidR="00DB3383">
              <w:rPr>
                <w:rFonts w:cs="Times New Roman"/>
                <w:color w:val="000000"/>
                <w:sz w:val="28"/>
                <w:szCs w:val="28"/>
                <w:shd w:val="clear" w:color="auto" w:fill="FFFFFF"/>
              </w:rPr>
              <w:t xml:space="preserve"> nay </w:t>
            </w:r>
            <w:r w:rsidR="00DB3383" w:rsidRPr="00C470A5">
              <w:rPr>
                <w:rFonts w:cs="Times New Roman"/>
                <w:b/>
                <w:color w:val="000000"/>
                <w:sz w:val="28"/>
                <w:szCs w:val="28"/>
                <w:shd w:val="clear" w:color="auto" w:fill="FFFFFF"/>
              </w:rPr>
              <w:t xml:space="preserve">Bộ Giáo dục và Đào tạo chưa ban hành văn bản </w:t>
            </w:r>
            <w:r w:rsidR="00DB3383" w:rsidRPr="00C470A5">
              <w:rPr>
                <w:rFonts w:cs="Times New Roman"/>
                <w:b/>
                <w:color w:val="000000"/>
                <w:sz w:val="28"/>
                <w:szCs w:val="28"/>
              </w:rPr>
              <w:t>quy định cụ thể tiêu chuẩn, điều kiện xét thăng hạng đối với trường hợp thăng lên hạng II và hạng I thuộc ngành, lĩnh vực quản lý</w:t>
            </w:r>
            <w:r w:rsidR="00DB3383">
              <w:rPr>
                <w:rFonts w:cs="Times New Roman"/>
                <w:color w:val="000000"/>
                <w:sz w:val="28"/>
                <w:szCs w:val="28"/>
              </w:rPr>
              <w:t>. Do đó, Sở Nội vụ chưa có cơ sở để tham mưu UBND tỉnh thực hiện xét thăng hạng giáo viên mầm non hạng I theo quy định.</w:t>
            </w:r>
          </w:p>
          <w:p w:rsidR="00DB3383" w:rsidRDefault="00DB3383" w:rsidP="00522665">
            <w:pPr>
              <w:widowControl w:val="0"/>
              <w:ind w:firstLine="317"/>
              <w:jc w:val="both"/>
              <w:rPr>
                <w:rFonts w:cs="Times New Roman"/>
                <w:color w:val="000000"/>
                <w:sz w:val="28"/>
                <w:szCs w:val="28"/>
              </w:rPr>
            </w:pPr>
            <w:r>
              <w:rPr>
                <w:rFonts w:cs="Times New Roman"/>
                <w:color w:val="000000"/>
                <w:sz w:val="28"/>
                <w:szCs w:val="28"/>
              </w:rPr>
              <w:t xml:space="preserve">Ngày 26/7/2024, Sở Nội vụ đã ban hành Công văn số 1110/SNV-CCVC gửi Sở Giáo dục và Đào tạo, trong đó đề nghị: Sau khi Bộ Giáo dục và Đào tạo ban hành Thông tư quy định tiêu chuẩn, điều kiện xét thăng hạng chức danh nghề nghiệp giáo viên lên hạng I, hạng II, đề nghị Sở Giáo dục và Đào tạo kịp thời ban hành Công văn hướng dẫn, đề nghị các đơn vị, địa phương cử viên chức đủ điều kiện, tiêu chuẩn dự xét thăng hạng chức danh nghề nghiệp giáo viên và thẩm định, xây dựng dự thảo Đề án xét thăng hạng chức danh nghề nghiệp giáo viên, trình UBND tỉnh </w:t>
            </w:r>
            <w:r w:rsidRPr="003F5775">
              <w:rPr>
                <w:rFonts w:cs="Times New Roman"/>
                <w:i/>
                <w:color w:val="000000"/>
                <w:sz w:val="28"/>
                <w:szCs w:val="28"/>
              </w:rPr>
              <w:t>(qua Sở Nội vụ thẩm định)</w:t>
            </w:r>
            <w:r>
              <w:rPr>
                <w:rFonts w:cs="Times New Roman"/>
                <w:color w:val="000000"/>
                <w:sz w:val="28"/>
                <w:szCs w:val="28"/>
              </w:rPr>
              <w:t xml:space="preserve"> xem xét, quyết định theo thẩm quyền.</w:t>
            </w:r>
          </w:p>
          <w:p w:rsidR="006B11CA" w:rsidRPr="00DB3383" w:rsidRDefault="00DB3383" w:rsidP="00522665">
            <w:pPr>
              <w:widowControl w:val="0"/>
              <w:ind w:firstLine="317"/>
              <w:jc w:val="both"/>
              <w:rPr>
                <w:rFonts w:cs="Times New Roman"/>
                <w:color w:val="000000"/>
                <w:sz w:val="28"/>
                <w:szCs w:val="28"/>
              </w:rPr>
            </w:pPr>
            <w:r>
              <w:rPr>
                <w:rFonts w:cs="Times New Roman"/>
                <w:color w:val="000000"/>
                <w:sz w:val="28"/>
                <w:szCs w:val="28"/>
              </w:rPr>
              <w:t>Vì vậy, Sở Nội vụ sẽ chủ động, kịp thời phối hợp với Sở Giáo dục và Đào tạo tham mưu UBND tỉnh xét thăng hạng chức danh nghề nghiệp giáo viên lên hạng I, hạng II sau khi Bộ Giáo dục và Đào tạo ban hành Thông tư nói trên.</w:t>
            </w:r>
          </w:p>
        </w:tc>
      </w:tr>
      <w:tr w:rsidR="006B11CA" w:rsidRPr="00041EFC" w:rsidTr="0061057D">
        <w:tc>
          <w:tcPr>
            <w:tcW w:w="567" w:type="dxa"/>
          </w:tcPr>
          <w:p w:rsidR="006B11CA" w:rsidRPr="00041EFC" w:rsidRDefault="006B11CA" w:rsidP="006B11CA">
            <w:pPr>
              <w:spacing w:before="40" w:after="40" w:line="340" w:lineRule="exact"/>
              <w:rPr>
                <w:rFonts w:cs="Times New Roman"/>
                <w:szCs w:val="26"/>
              </w:rPr>
            </w:pPr>
            <w:r w:rsidRPr="00041EFC">
              <w:rPr>
                <w:rFonts w:cs="Times New Roman"/>
                <w:szCs w:val="26"/>
              </w:rPr>
              <w:lastRenderedPageBreak/>
              <w:t>2</w:t>
            </w:r>
          </w:p>
        </w:tc>
        <w:tc>
          <w:tcPr>
            <w:tcW w:w="5387" w:type="dxa"/>
          </w:tcPr>
          <w:p w:rsidR="006B11CA" w:rsidRPr="00DB3383" w:rsidRDefault="00DB3383" w:rsidP="00522665">
            <w:pPr>
              <w:widowControl w:val="0"/>
              <w:ind w:firstLine="459"/>
              <w:jc w:val="both"/>
              <w:rPr>
                <w:sz w:val="28"/>
                <w:szCs w:val="28"/>
              </w:rPr>
            </w:pPr>
            <w:r w:rsidRPr="00F53B03">
              <w:rPr>
                <w:sz w:val="28"/>
                <w:szCs w:val="28"/>
                <w:lang w:val="vi-VN"/>
              </w:rPr>
              <w:t xml:space="preserve">Hiện nay tiêu chuẩn trình độ chuyên môn và thời gian giảng dạy để bổ nhiệm Hiệu trưởng, Phó hiệu trưởng loại hình trường TH&amp;THCS thì tính theo cấp THCS nên Phó hiệu trưởng, giáo viên cấp tiểu học các trường TH&amp;THCS không được quy hoạch chức danh cán bộ quản lý, không được bổ nhiệm vị trí </w:t>
            </w:r>
            <w:r w:rsidRPr="00F53B03">
              <w:rPr>
                <w:sz w:val="28"/>
                <w:szCs w:val="28"/>
                <w:lang w:val="vi-VN"/>
              </w:rPr>
              <w:lastRenderedPageBreak/>
              <w:t>cao hơn nên ảnh hưởng đến tâm tư, động lực làm việc của đội ngũ giáo viên này.</w:t>
            </w:r>
          </w:p>
        </w:tc>
        <w:tc>
          <w:tcPr>
            <w:tcW w:w="8221" w:type="dxa"/>
          </w:tcPr>
          <w:p w:rsidR="00DB3383" w:rsidRPr="00F53B03" w:rsidRDefault="00DB3383" w:rsidP="00522665">
            <w:pPr>
              <w:widowControl w:val="0"/>
              <w:ind w:firstLine="317"/>
              <w:jc w:val="both"/>
              <w:rPr>
                <w:sz w:val="28"/>
                <w:szCs w:val="28"/>
                <w:lang w:val="vi-VN"/>
              </w:rPr>
            </w:pPr>
            <w:r w:rsidRPr="00F53B03">
              <w:rPr>
                <w:sz w:val="28"/>
                <w:szCs w:val="28"/>
                <w:lang w:val="vi-VN"/>
              </w:rPr>
              <w:lastRenderedPageBreak/>
              <w:t xml:space="preserve">Liên quan đến vướng mắc trong việc sắp xếp, bố trí, quy hoạch, bổ nhiệm lãnh đạo quản lý tại các Trường TH&amp;THCS trên địa bàn tỉnh do thực hiện Điều lệ trường trung học cơ sở, trường trung học phổ thông và trường phổ thông có nhiều cấp học ban hành kèm theo Thông tư số 32/2020/TT-BGDĐT ngày 15/9/2020 của Bộ Giáo dục và Đào tạo (sau đây gọi tắt là Thông tư số 32/2020/TT-BGDĐT); Sở Nội vụ và Sở GD&amp;ĐT đã có kiến nghị, đề xuất gửi Bộ GD&amp;ĐT (Công văn số </w:t>
            </w:r>
            <w:r w:rsidRPr="00F53B03">
              <w:rPr>
                <w:sz w:val="28"/>
                <w:szCs w:val="28"/>
                <w:lang w:val="vi-VN"/>
              </w:rPr>
              <w:lastRenderedPageBreak/>
              <w:t>913/SNV-CCVC ngày 25/10/2021, Công văn số 1453/SGDĐT-TCCB-CTTT ngày 19/7/2022), cử tri tỉnh Quảng Trị đã có kiến nghị gửi tới trước kỳ họp thứ 4 Quốc hội khóa XV.</w:t>
            </w:r>
          </w:p>
          <w:p w:rsidR="00DB3383" w:rsidRPr="00F53B03" w:rsidRDefault="00DB3383" w:rsidP="00522665">
            <w:pPr>
              <w:widowControl w:val="0"/>
              <w:ind w:firstLine="317"/>
              <w:jc w:val="both"/>
              <w:rPr>
                <w:sz w:val="28"/>
                <w:szCs w:val="28"/>
                <w:lang w:val="vi-VN"/>
              </w:rPr>
            </w:pPr>
            <w:r w:rsidRPr="00F53B03">
              <w:rPr>
                <w:sz w:val="28"/>
                <w:szCs w:val="28"/>
                <w:lang w:val="vi-VN"/>
              </w:rPr>
              <w:t>Tuy nhiên, ngày 14/02/2023</w:t>
            </w:r>
            <w:r w:rsidR="00332FE3">
              <w:rPr>
                <w:sz w:val="28"/>
                <w:szCs w:val="28"/>
              </w:rPr>
              <w:t>,</w:t>
            </w:r>
            <w:r w:rsidRPr="00F53B03">
              <w:rPr>
                <w:sz w:val="28"/>
                <w:szCs w:val="28"/>
                <w:lang w:val="vi-VN"/>
              </w:rPr>
              <w:t xml:space="preserve"> Bộ GD</w:t>
            </w:r>
            <w:r w:rsidR="0033219B">
              <w:rPr>
                <w:sz w:val="28"/>
                <w:szCs w:val="28"/>
              </w:rPr>
              <w:t>&amp;</w:t>
            </w:r>
            <w:r w:rsidRPr="00F53B03">
              <w:rPr>
                <w:sz w:val="28"/>
                <w:szCs w:val="28"/>
                <w:lang w:val="vi-VN"/>
              </w:rPr>
              <w:t>ĐT đã có Công văn số 497/BGDĐT-VP gửi Đoàn Đại biểu Quốc hội tỉnh Quảng Trị, theo đó đề nghị tiếp tục áp dụng quy định tiêu chuẩn về trình độ chuẩn được đào tạo của Hiệu trưởng, Phó Hiệu trưởng trường phổ thông có nhiều cấp học như quy định tại điểm a khoản 3 Điều 11 Thông tư số 32/2020/TT-BGDĐT; Bộ GD</w:t>
            </w:r>
            <w:r w:rsidR="0033219B">
              <w:rPr>
                <w:sz w:val="28"/>
                <w:szCs w:val="28"/>
              </w:rPr>
              <w:t>&amp;</w:t>
            </w:r>
            <w:r w:rsidRPr="00F53B03">
              <w:rPr>
                <w:sz w:val="28"/>
                <w:szCs w:val="28"/>
                <w:lang w:val="vi-VN"/>
              </w:rPr>
              <w:t>ĐT sẽ tiếp tục rà soát, điều chỉnh các quy định tại các văn bản quy phạm pháp luật có liên quan để việc thực hiện tại các địa phương được thuận lợi và bảo đảm quyền lợi của đội ngũ nhà giáo.</w:t>
            </w:r>
          </w:p>
          <w:p w:rsidR="006B11CA" w:rsidRPr="00DB3383" w:rsidRDefault="00DB3383" w:rsidP="00522665">
            <w:pPr>
              <w:widowControl w:val="0"/>
              <w:ind w:firstLine="317"/>
              <w:jc w:val="both"/>
              <w:rPr>
                <w:sz w:val="28"/>
                <w:szCs w:val="28"/>
              </w:rPr>
            </w:pPr>
            <w:r w:rsidRPr="00F53B03">
              <w:rPr>
                <w:sz w:val="28"/>
                <w:szCs w:val="28"/>
                <w:lang w:val="vi-VN"/>
              </w:rPr>
              <w:t>Vì vậy, Sở Nội vụ đã đề nghị các đơn vị, địa phương căn cứ quy định tại Thông tư số 32/2020/TT-BGDĐT và hướng dẫn của Bộ GD</w:t>
            </w:r>
            <w:r w:rsidR="00116778">
              <w:rPr>
                <w:sz w:val="28"/>
                <w:szCs w:val="28"/>
              </w:rPr>
              <w:t>&amp;</w:t>
            </w:r>
            <w:r w:rsidRPr="00F53B03">
              <w:rPr>
                <w:sz w:val="28"/>
                <w:szCs w:val="28"/>
                <w:lang w:val="vi-VN"/>
              </w:rPr>
              <w:t>ĐT tại Công văn số 497/BGDĐT-VP để tổ chức thực hiện. Sở Nội vụ sẽ tiếp tục phối hợp Sở GD&amp;ĐT kiến nghị, đề xuất Bộ GD</w:t>
            </w:r>
            <w:r w:rsidR="00116778">
              <w:rPr>
                <w:sz w:val="28"/>
                <w:szCs w:val="28"/>
              </w:rPr>
              <w:t>&amp;</w:t>
            </w:r>
            <w:r w:rsidRPr="00F53B03">
              <w:rPr>
                <w:sz w:val="28"/>
                <w:szCs w:val="28"/>
                <w:lang w:val="vi-VN"/>
              </w:rPr>
              <w:t>ĐT sửa đổi quy định nêu trên.</w:t>
            </w:r>
          </w:p>
        </w:tc>
      </w:tr>
    </w:tbl>
    <w:p w:rsidR="00FF1AE7" w:rsidRDefault="00FF1AE7"/>
    <w:sectPr w:rsidR="00FF1AE7" w:rsidSect="0061057D">
      <w:headerReference w:type="default" r:id="rId8"/>
      <w:pgSz w:w="16834" w:h="11909" w:orient="landscape" w:code="9"/>
      <w:pgMar w:top="1440" w:right="1151" w:bottom="11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57" w:rsidRDefault="002B4B57" w:rsidP="006503F8">
      <w:pPr>
        <w:spacing w:after="0" w:line="240" w:lineRule="auto"/>
      </w:pPr>
      <w:r>
        <w:separator/>
      </w:r>
    </w:p>
  </w:endnote>
  <w:endnote w:type="continuationSeparator" w:id="0">
    <w:p w:rsidR="002B4B57" w:rsidRDefault="002B4B57" w:rsidP="0065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57" w:rsidRDefault="002B4B57" w:rsidP="006503F8">
      <w:pPr>
        <w:spacing w:after="0" w:line="240" w:lineRule="auto"/>
      </w:pPr>
      <w:r>
        <w:separator/>
      </w:r>
    </w:p>
  </w:footnote>
  <w:footnote w:type="continuationSeparator" w:id="0">
    <w:p w:rsidR="002B4B57" w:rsidRDefault="002B4B57" w:rsidP="00650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97834"/>
      <w:docPartObj>
        <w:docPartGallery w:val="Page Numbers (Top of Page)"/>
        <w:docPartUnique/>
      </w:docPartObj>
    </w:sdtPr>
    <w:sdtEndPr>
      <w:rPr>
        <w:noProof/>
      </w:rPr>
    </w:sdtEndPr>
    <w:sdtContent>
      <w:p w:rsidR="00103632" w:rsidRDefault="00103632">
        <w:pPr>
          <w:pStyle w:val="Header"/>
          <w:jc w:val="center"/>
        </w:pPr>
        <w:r>
          <w:fldChar w:fldCharType="begin"/>
        </w:r>
        <w:r>
          <w:instrText xml:space="preserve"> PAGE   \* MERGEFORMAT </w:instrText>
        </w:r>
        <w:r>
          <w:fldChar w:fldCharType="separate"/>
        </w:r>
        <w:r w:rsidR="00522665">
          <w:rPr>
            <w:noProof/>
          </w:rPr>
          <w:t>2</w:t>
        </w:r>
        <w:r>
          <w:rPr>
            <w:noProof/>
          </w:rPr>
          <w:fldChar w:fldCharType="end"/>
        </w:r>
      </w:p>
    </w:sdtContent>
  </w:sdt>
  <w:p w:rsidR="00103632" w:rsidRDefault="0010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DF2"/>
    <w:multiLevelType w:val="hybridMultilevel"/>
    <w:tmpl w:val="64ACAE66"/>
    <w:lvl w:ilvl="0" w:tplc="B2B6A2F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3D530FA"/>
    <w:multiLevelType w:val="hybridMultilevel"/>
    <w:tmpl w:val="EC68F24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F69F9"/>
    <w:multiLevelType w:val="hybridMultilevel"/>
    <w:tmpl w:val="EC68F24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B0183"/>
    <w:multiLevelType w:val="hybridMultilevel"/>
    <w:tmpl w:val="D458C466"/>
    <w:lvl w:ilvl="0" w:tplc="1B54D38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06419"/>
    <w:rsid w:val="000141F6"/>
    <w:rsid w:val="00041EFC"/>
    <w:rsid w:val="00062418"/>
    <w:rsid w:val="000D2B53"/>
    <w:rsid w:val="000E4892"/>
    <w:rsid w:val="000F3A9E"/>
    <w:rsid w:val="00103632"/>
    <w:rsid w:val="00116778"/>
    <w:rsid w:val="00153B38"/>
    <w:rsid w:val="001560DB"/>
    <w:rsid w:val="001B50CD"/>
    <w:rsid w:val="002251CB"/>
    <w:rsid w:val="00226FF6"/>
    <w:rsid w:val="002A08C3"/>
    <w:rsid w:val="002B4B57"/>
    <w:rsid w:val="002E496E"/>
    <w:rsid w:val="0032574B"/>
    <w:rsid w:val="0033219B"/>
    <w:rsid w:val="00332FE3"/>
    <w:rsid w:val="0034703F"/>
    <w:rsid w:val="00352763"/>
    <w:rsid w:val="003A7CB3"/>
    <w:rsid w:val="003F506E"/>
    <w:rsid w:val="004018C2"/>
    <w:rsid w:val="0042474A"/>
    <w:rsid w:val="00437A47"/>
    <w:rsid w:val="00442834"/>
    <w:rsid w:val="0046492C"/>
    <w:rsid w:val="00470399"/>
    <w:rsid w:val="0047492E"/>
    <w:rsid w:val="00475BEF"/>
    <w:rsid w:val="00487390"/>
    <w:rsid w:val="004D1A7F"/>
    <w:rsid w:val="00502A5A"/>
    <w:rsid w:val="005214E8"/>
    <w:rsid w:val="00522665"/>
    <w:rsid w:val="00523312"/>
    <w:rsid w:val="005344B2"/>
    <w:rsid w:val="0058117A"/>
    <w:rsid w:val="005A7E26"/>
    <w:rsid w:val="005C2D2C"/>
    <w:rsid w:val="005D1F7C"/>
    <w:rsid w:val="005E490E"/>
    <w:rsid w:val="0061057D"/>
    <w:rsid w:val="006503F8"/>
    <w:rsid w:val="00660BDA"/>
    <w:rsid w:val="006B11CA"/>
    <w:rsid w:val="006C4FE2"/>
    <w:rsid w:val="006D15E5"/>
    <w:rsid w:val="00734BBA"/>
    <w:rsid w:val="00757036"/>
    <w:rsid w:val="007B09BB"/>
    <w:rsid w:val="007C3883"/>
    <w:rsid w:val="007D3305"/>
    <w:rsid w:val="00835B96"/>
    <w:rsid w:val="008470F3"/>
    <w:rsid w:val="008C34D1"/>
    <w:rsid w:val="008F375C"/>
    <w:rsid w:val="00912CFB"/>
    <w:rsid w:val="00921793"/>
    <w:rsid w:val="00941DF5"/>
    <w:rsid w:val="009757D9"/>
    <w:rsid w:val="009A5E07"/>
    <w:rsid w:val="00A03580"/>
    <w:rsid w:val="00A038BA"/>
    <w:rsid w:val="00A104AE"/>
    <w:rsid w:val="00A333D7"/>
    <w:rsid w:val="00A94B20"/>
    <w:rsid w:val="00AA0356"/>
    <w:rsid w:val="00AB4D74"/>
    <w:rsid w:val="00AB5DF0"/>
    <w:rsid w:val="00AD0767"/>
    <w:rsid w:val="00B15B67"/>
    <w:rsid w:val="00B40504"/>
    <w:rsid w:val="00B67955"/>
    <w:rsid w:val="00B730BF"/>
    <w:rsid w:val="00C45815"/>
    <w:rsid w:val="00C74629"/>
    <w:rsid w:val="00C8717F"/>
    <w:rsid w:val="00CC01A1"/>
    <w:rsid w:val="00CC0266"/>
    <w:rsid w:val="00CD24E0"/>
    <w:rsid w:val="00D277D3"/>
    <w:rsid w:val="00D479CB"/>
    <w:rsid w:val="00D54B57"/>
    <w:rsid w:val="00DB3383"/>
    <w:rsid w:val="00E10FC0"/>
    <w:rsid w:val="00E312FD"/>
    <w:rsid w:val="00E4681B"/>
    <w:rsid w:val="00EF2691"/>
    <w:rsid w:val="00FF1AE7"/>
    <w:rsid w:val="00FF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AB4D7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AB4D74"/>
    <w:rPr>
      <w:rFonts w:eastAsia="Times New Roman" w:cs="Times New Roman"/>
      <w:sz w:val="24"/>
      <w:szCs w:val="24"/>
    </w:rPr>
  </w:style>
  <w:style w:type="paragraph" w:styleId="FootnoteText">
    <w:name w:val="footnote text"/>
    <w:basedOn w:val="Normal"/>
    <w:link w:val="FootnoteTextChar"/>
    <w:uiPriority w:val="99"/>
    <w:semiHidden/>
    <w:unhideWhenUsed/>
    <w:rsid w:val="006503F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503F8"/>
    <w:rPr>
      <w:rFonts w:eastAsia="Times New Roman" w:cs="Times New Roman"/>
      <w:sz w:val="20"/>
      <w:szCs w:val="20"/>
    </w:rPr>
  </w:style>
  <w:style w:type="character" w:styleId="FootnoteReference">
    <w:name w:val="footnote reference"/>
    <w:basedOn w:val="DefaultParagraphFont"/>
    <w:uiPriority w:val="99"/>
    <w:semiHidden/>
    <w:unhideWhenUsed/>
    <w:rsid w:val="006503F8"/>
    <w:rPr>
      <w:vertAlign w:val="superscript"/>
    </w:rPr>
  </w:style>
  <w:style w:type="paragraph" w:styleId="Header">
    <w:name w:val="header"/>
    <w:basedOn w:val="Normal"/>
    <w:link w:val="HeaderChar"/>
    <w:uiPriority w:val="99"/>
    <w:unhideWhenUsed/>
    <w:rsid w:val="0010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32"/>
  </w:style>
  <w:style w:type="paragraph" w:styleId="Footer">
    <w:name w:val="footer"/>
    <w:basedOn w:val="Normal"/>
    <w:link w:val="FooterChar"/>
    <w:uiPriority w:val="99"/>
    <w:unhideWhenUsed/>
    <w:rsid w:val="0010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32"/>
  </w:style>
  <w:style w:type="paragraph" w:styleId="BodyText2">
    <w:name w:val="Body Text 2"/>
    <w:basedOn w:val="Normal"/>
    <w:link w:val="BodyText2Char"/>
    <w:rsid w:val="000E4892"/>
    <w:pPr>
      <w:spacing w:after="0" w:line="240" w:lineRule="auto"/>
      <w:jc w:val="center"/>
    </w:pPr>
    <w:rPr>
      <w:rFonts w:eastAsia="Times New Roman" w:cs="Times New Roman"/>
      <w:b/>
      <w:bCs/>
      <w:sz w:val="32"/>
      <w:szCs w:val="24"/>
    </w:rPr>
  </w:style>
  <w:style w:type="character" w:customStyle="1" w:styleId="BodyText2Char">
    <w:name w:val="Body Text 2 Char"/>
    <w:basedOn w:val="DefaultParagraphFont"/>
    <w:link w:val="BodyText2"/>
    <w:rsid w:val="000E4892"/>
    <w:rPr>
      <w:rFonts w:eastAsia="Times New Roman" w:cs="Times New Roman"/>
      <w:b/>
      <w:bCs/>
      <w:sz w:val="32"/>
      <w:szCs w:val="24"/>
    </w:rPr>
  </w:style>
  <w:style w:type="paragraph" w:styleId="ListParagraph">
    <w:name w:val="List Paragraph"/>
    <w:basedOn w:val="Normal"/>
    <w:uiPriority w:val="34"/>
    <w:qFormat/>
    <w:rsid w:val="00B40504"/>
    <w:pPr>
      <w:ind w:left="720"/>
      <w:contextualSpacing/>
    </w:pPr>
  </w:style>
  <w:style w:type="character" w:customStyle="1" w:styleId="vn4">
    <w:name w:val="vn_4"/>
    <w:basedOn w:val="DefaultParagraphFont"/>
    <w:rsid w:val="00041EFC"/>
  </w:style>
  <w:style w:type="table" w:customStyle="1" w:styleId="LightShading1">
    <w:name w:val="Light Shading1"/>
    <w:basedOn w:val="TableNormal"/>
    <w:uiPriority w:val="60"/>
    <w:rsid w:val="00041EFC"/>
    <w:pPr>
      <w:spacing w:after="0" w:line="240" w:lineRule="auto"/>
    </w:pPr>
    <w:rPr>
      <w:rFonts w:eastAsia="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D479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AB4D7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locked/>
    <w:rsid w:val="00AB4D74"/>
    <w:rPr>
      <w:rFonts w:eastAsia="Times New Roman" w:cs="Times New Roman"/>
      <w:sz w:val="24"/>
      <w:szCs w:val="24"/>
    </w:rPr>
  </w:style>
  <w:style w:type="paragraph" w:styleId="FootnoteText">
    <w:name w:val="footnote text"/>
    <w:basedOn w:val="Normal"/>
    <w:link w:val="FootnoteTextChar"/>
    <w:uiPriority w:val="99"/>
    <w:semiHidden/>
    <w:unhideWhenUsed/>
    <w:rsid w:val="006503F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503F8"/>
    <w:rPr>
      <w:rFonts w:eastAsia="Times New Roman" w:cs="Times New Roman"/>
      <w:sz w:val="20"/>
      <w:szCs w:val="20"/>
    </w:rPr>
  </w:style>
  <w:style w:type="character" w:styleId="FootnoteReference">
    <w:name w:val="footnote reference"/>
    <w:basedOn w:val="DefaultParagraphFont"/>
    <w:uiPriority w:val="99"/>
    <w:semiHidden/>
    <w:unhideWhenUsed/>
    <w:rsid w:val="006503F8"/>
    <w:rPr>
      <w:vertAlign w:val="superscript"/>
    </w:rPr>
  </w:style>
  <w:style w:type="paragraph" w:styleId="Header">
    <w:name w:val="header"/>
    <w:basedOn w:val="Normal"/>
    <w:link w:val="HeaderChar"/>
    <w:uiPriority w:val="99"/>
    <w:unhideWhenUsed/>
    <w:rsid w:val="0010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32"/>
  </w:style>
  <w:style w:type="paragraph" w:styleId="Footer">
    <w:name w:val="footer"/>
    <w:basedOn w:val="Normal"/>
    <w:link w:val="FooterChar"/>
    <w:uiPriority w:val="99"/>
    <w:unhideWhenUsed/>
    <w:rsid w:val="0010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32"/>
  </w:style>
  <w:style w:type="paragraph" w:styleId="BodyText2">
    <w:name w:val="Body Text 2"/>
    <w:basedOn w:val="Normal"/>
    <w:link w:val="BodyText2Char"/>
    <w:rsid w:val="000E4892"/>
    <w:pPr>
      <w:spacing w:after="0" w:line="240" w:lineRule="auto"/>
      <w:jc w:val="center"/>
    </w:pPr>
    <w:rPr>
      <w:rFonts w:eastAsia="Times New Roman" w:cs="Times New Roman"/>
      <w:b/>
      <w:bCs/>
      <w:sz w:val="32"/>
      <w:szCs w:val="24"/>
    </w:rPr>
  </w:style>
  <w:style w:type="character" w:customStyle="1" w:styleId="BodyText2Char">
    <w:name w:val="Body Text 2 Char"/>
    <w:basedOn w:val="DefaultParagraphFont"/>
    <w:link w:val="BodyText2"/>
    <w:rsid w:val="000E4892"/>
    <w:rPr>
      <w:rFonts w:eastAsia="Times New Roman" w:cs="Times New Roman"/>
      <w:b/>
      <w:bCs/>
      <w:sz w:val="32"/>
      <w:szCs w:val="24"/>
    </w:rPr>
  </w:style>
  <w:style w:type="paragraph" w:styleId="ListParagraph">
    <w:name w:val="List Paragraph"/>
    <w:basedOn w:val="Normal"/>
    <w:uiPriority w:val="34"/>
    <w:qFormat/>
    <w:rsid w:val="00B40504"/>
    <w:pPr>
      <w:ind w:left="720"/>
      <w:contextualSpacing/>
    </w:pPr>
  </w:style>
  <w:style w:type="character" w:customStyle="1" w:styleId="vn4">
    <w:name w:val="vn_4"/>
    <w:basedOn w:val="DefaultParagraphFont"/>
    <w:rsid w:val="00041EFC"/>
  </w:style>
  <w:style w:type="table" w:customStyle="1" w:styleId="LightShading1">
    <w:name w:val="Light Shading1"/>
    <w:basedOn w:val="TableNormal"/>
    <w:uiPriority w:val="60"/>
    <w:rsid w:val="00041EFC"/>
    <w:pPr>
      <w:spacing w:after="0" w:line="240" w:lineRule="auto"/>
    </w:pPr>
    <w:rPr>
      <w:rFonts w:eastAsia="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D47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dc:creator>
  <cp:keywords/>
  <dc:description/>
  <cp:lastModifiedBy>RMT</cp:lastModifiedBy>
  <cp:revision>67</cp:revision>
  <dcterms:created xsi:type="dcterms:W3CDTF">2024-02-21T03:45:00Z</dcterms:created>
  <dcterms:modified xsi:type="dcterms:W3CDTF">2024-10-25T03:41:00Z</dcterms:modified>
</cp:coreProperties>
</file>